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B05A4" w14:textId="458BB926" w:rsidR="001A3C1F" w:rsidRDefault="00107F72" w:rsidP="001A3C1F">
      <w:pPr>
        <w:pStyle w:val="Heading1"/>
      </w:pPr>
      <w:bookmarkStart w:id="0" w:name="_GoBack"/>
      <w:bookmarkEnd w:id="0"/>
      <w:r>
        <w:t>Additional File 3</w:t>
      </w:r>
    </w:p>
    <w:p w14:paraId="6629AAE9" w14:textId="51FEC941" w:rsidR="001037C8" w:rsidRDefault="00FB7245" w:rsidP="001037C8">
      <w:pPr>
        <w:pStyle w:val="Heading2"/>
      </w:pPr>
      <w:r>
        <w:t xml:space="preserve">Harmonisation and categorisation processes: </w:t>
      </w:r>
      <w:r w:rsidR="001037C8">
        <w:t>Organised sport</w:t>
      </w:r>
    </w:p>
    <w:p w14:paraId="63D53D2E" w14:textId="15ACCE6F" w:rsidR="001037C8" w:rsidRDefault="001037C8" w:rsidP="001A3C1F">
      <w:r w:rsidRPr="001037C8">
        <w:t>The harmonisation of this variable was documented</w:t>
      </w:r>
      <w:r w:rsidR="00D543F6">
        <w:t xml:space="preserve"> </w:t>
      </w:r>
      <w:r w:rsidR="00D543F6">
        <w:rPr>
          <w:rFonts w:cs="Arial"/>
        </w:rPr>
        <w:t>and shared on the ICAD webpage (</w:t>
      </w:r>
      <w:r w:rsidR="00D543F6" w:rsidRPr="00CC6F2B">
        <w:rPr>
          <w:rFonts w:cs="Arial"/>
        </w:rPr>
        <w:t>www.mrc-epid.cam.ac.uk/research/studies/icad/data-harmonisation/</w:t>
      </w:r>
      <w:r w:rsidR="00D543F6">
        <w:rPr>
          <w:rFonts w:cs="Arial"/>
        </w:rPr>
        <w:t xml:space="preserve">) </w:t>
      </w:r>
      <w:r w:rsidRPr="001037C8">
        <w:t>under the name of ‘</w:t>
      </w:r>
      <w:r>
        <w:t xml:space="preserve">Organised </w:t>
      </w:r>
      <w:r w:rsidR="006C5737">
        <w:t>s</w:t>
      </w:r>
      <w:r>
        <w:t>port</w:t>
      </w:r>
      <w:r w:rsidRPr="001037C8">
        <w:t xml:space="preserve">’ (in the category of </w:t>
      </w:r>
      <w:r w:rsidRPr="001037C8">
        <w:rPr>
          <w:i/>
        </w:rPr>
        <w:t xml:space="preserve">Physical </w:t>
      </w:r>
      <w:r w:rsidR="006C5737">
        <w:rPr>
          <w:i/>
        </w:rPr>
        <w:t>a</w:t>
      </w:r>
      <w:r w:rsidRPr="001037C8">
        <w:rPr>
          <w:i/>
        </w:rPr>
        <w:t>ctivity – behaviour and correlates</w:t>
      </w:r>
      <w:r w:rsidRPr="001037C8">
        <w:t>).</w:t>
      </w:r>
    </w:p>
    <w:p w14:paraId="3DF1C9BB" w14:textId="11E8861C" w:rsidR="009D1334" w:rsidRDefault="001A3C1F" w:rsidP="001A3C1F">
      <w:r w:rsidRPr="001A3C1F">
        <w:t xml:space="preserve">One of the challenges that we faced when harmonising </w:t>
      </w:r>
      <w:r w:rsidR="00602FE9">
        <w:t xml:space="preserve">the </w:t>
      </w:r>
      <w:r w:rsidR="00DD27A9">
        <w:t xml:space="preserve">weekly </w:t>
      </w:r>
      <w:r w:rsidR="00602FE9">
        <w:t xml:space="preserve">frequency of </w:t>
      </w:r>
      <w:r w:rsidRPr="001A3C1F">
        <w:t>organised sport</w:t>
      </w:r>
      <w:r w:rsidR="00602FE9">
        <w:t xml:space="preserve">s </w:t>
      </w:r>
      <w:r w:rsidRPr="001A3C1F">
        <w:t xml:space="preserve">was that each </w:t>
      </w:r>
      <w:r w:rsidRPr="00DD27A9">
        <w:t>study measured different types</w:t>
      </w:r>
      <w:r w:rsidR="00602FE9" w:rsidRPr="00DD27A9">
        <w:t xml:space="preserve"> and numbers of organised sports</w:t>
      </w:r>
      <w:r w:rsidRPr="00DD27A9">
        <w:t>.</w:t>
      </w:r>
      <w:r w:rsidR="00DD27A9" w:rsidRPr="00DD27A9">
        <w:t xml:space="preserve">, </w:t>
      </w:r>
      <w:r w:rsidR="00345EFE">
        <w:t>T</w:t>
      </w:r>
      <w:r w:rsidR="00DD27A9" w:rsidRPr="00DD27A9">
        <w:t>he frequency was calculated by summing the scores from each organised sport</w:t>
      </w:r>
      <w:r w:rsidR="00DD27A9">
        <w:t xml:space="preserve"> item</w:t>
      </w:r>
      <w:r w:rsidR="00DD27A9" w:rsidRPr="00DD27A9">
        <w:t xml:space="preserve"> (ranging from 0-59.5 times/week).</w:t>
      </w:r>
    </w:p>
    <w:p w14:paraId="09251DAB" w14:textId="77777777" w:rsidR="00602FE9" w:rsidRDefault="00602FE9" w:rsidP="00602FE9">
      <w:pPr>
        <w:pStyle w:val="Heading3"/>
      </w:pPr>
      <w:r>
        <w:t>ALSPAC</w:t>
      </w:r>
    </w:p>
    <w:p w14:paraId="70E85931" w14:textId="085953E2" w:rsidR="00602FE9" w:rsidRDefault="00602FE9" w:rsidP="001A3C1F">
      <w:r>
        <w:t xml:space="preserve">Two types of organised sports </w:t>
      </w:r>
      <w:r w:rsidR="00B05CF3">
        <w:t xml:space="preserve">were </w:t>
      </w:r>
      <w:r>
        <w:t xml:space="preserve">included: </w:t>
      </w:r>
      <w:r w:rsidRPr="00DD27A9">
        <w:rPr>
          <w:i/>
        </w:rPr>
        <w:t>swimming</w:t>
      </w:r>
      <w:r>
        <w:t xml:space="preserve"> and </w:t>
      </w:r>
      <w:r w:rsidRPr="00DD27A9">
        <w:rPr>
          <w:i/>
        </w:rPr>
        <w:t>sport class</w:t>
      </w:r>
      <w:r>
        <w:t>.</w:t>
      </w:r>
      <w:r w:rsidR="00DD27A9">
        <w:t xml:space="preserve"> Categorical responses were converted to scores: ‘not at all’ or ‘less than once a month’</w:t>
      </w:r>
      <w:r w:rsidR="00F01998">
        <w:t xml:space="preserve"> = 0,</w:t>
      </w:r>
      <w:r w:rsidR="00DD27A9">
        <w:t xml:space="preserve"> ‘1-3 times per month’ = </w:t>
      </w:r>
      <w:r w:rsidR="00F01998">
        <w:t>0.5,</w:t>
      </w:r>
      <w:r w:rsidR="00DD27A9">
        <w:t xml:space="preserve"> ‘once a week’</w:t>
      </w:r>
      <w:r w:rsidR="00F01998">
        <w:t xml:space="preserve"> = 1,</w:t>
      </w:r>
      <w:r w:rsidR="00DD27A9">
        <w:t xml:space="preserve"> ‘2-5 times per week’</w:t>
      </w:r>
      <w:r w:rsidR="00F01998">
        <w:t xml:space="preserve"> = 3.5, and</w:t>
      </w:r>
      <w:r w:rsidR="00DD27A9">
        <w:t xml:space="preserve"> ‘nearly every day’ = 6.</w:t>
      </w:r>
    </w:p>
    <w:p w14:paraId="4A612098" w14:textId="469D3C8A" w:rsidR="0075266A" w:rsidRDefault="0075266A" w:rsidP="0075266A">
      <w:pPr>
        <w:pStyle w:val="Heading3"/>
      </w:pPr>
      <w:r>
        <w:t>CLAN</w:t>
      </w:r>
    </w:p>
    <w:p w14:paraId="56241CBA" w14:textId="7CCAEBF2" w:rsidR="0099705B" w:rsidRPr="00DD27A9" w:rsidRDefault="00DD27A9" w:rsidP="001A3C1F">
      <w:r>
        <w:t>The frequency of organised sport</w:t>
      </w:r>
      <w:r w:rsidR="00C33369">
        <w:t>s</w:t>
      </w:r>
      <w:r>
        <w:t xml:space="preserve"> </w:t>
      </w:r>
      <w:r w:rsidR="00C33369">
        <w:t>was</w:t>
      </w:r>
      <w:r>
        <w:t xml:space="preserve"> reported separately on weekdays (from Monday to Friday) and at weekends (Saturday and Sunday).</w:t>
      </w:r>
      <w:r w:rsidR="00FD6015">
        <w:t xml:space="preserve"> In the harmonised variable, the weekday and weekend data were merged to create a weekly frequency (times/week). Twenty types of organised sports </w:t>
      </w:r>
      <w:r w:rsidR="00B05CF3">
        <w:t xml:space="preserve">were </w:t>
      </w:r>
      <w:r w:rsidR="00FD6015">
        <w:t xml:space="preserve">included: </w:t>
      </w:r>
      <w:r w:rsidR="00FD6015" w:rsidRPr="00FD6015">
        <w:rPr>
          <w:i/>
        </w:rPr>
        <w:t>Aussie rules football</w:t>
      </w:r>
      <w:r w:rsidR="00FD6015" w:rsidRPr="00FD6015">
        <w:t xml:space="preserve">, </w:t>
      </w:r>
      <w:r w:rsidR="00FD6015" w:rsidRPr="00FD6015">
        <w:rPr>
          <w:i/>
        </w:rPr>
        <w:t>baseball</w:t>
      </w:r>
      <w:r w:rsidR="00FD6015" w:rsidRPr="00FD6015">
        <w:t xml:space="preserve">, </w:t>
      </w:r>
      <w:r w:rsidR="00FD6015" w:rsidRPr="00FD6015">
        <w:rPr>
          <w:i/>
        </w:rPr>
        <w:t>basketball</w:t>
      </w:r>
      <w:r w:rsidR="00FD6015" w:rsidRPr="00FD6015">
        <w:t xml:space="preserve">, </w:t>
      </w:r>
      <w:r w:rsidR="00FD6015" w:rsidRPr="00FD6015">
        <w:rPr>
          <w:i/>
        </w:rPr>
        <w:t>cricket</w:t>
      </w:r>
      <w:r w:rsidR="00FD6015" w:rsidRPr="00FD6015">
        <w:t xml:space="preserve">, </w:t>
      </w:r>
      <w:r w:rsidR="00FD6015" w:rsidRPr="00FD6015">
        <w:rPr>
          <w:i/>
        </w:rPr>
        <w:t>dance</w:t>
      </w:r>
      <w:r w:rsidR="00FD6015" w:rsidRPr="00FD6015">
        <w:t xml:space="preserve">, </w:t>
      </w:r>
      <w:r w:rsidR="00FD6015" w:rsidRPr="00FD6015">
        <w:rPr>
          <w:i/>
        </w:rPr>
        <w:t>gymnastics</w:t>
      </w:r>
      <w:r w:rsidR="00FD6015" w:rsidRPr="00FD6015">
        <w:t xml:space="preserve">, </w:t>
      </w:r>
      <w:r w:rsidR="00FD6015" w:rsidRPr="00FD6015">
        <w:rPr>
          <w:i/>
        </w:rPr>
        <w:t>netball</w:t>
      </w:r>
      <w:r w:rsidR="00FD6015" w:rsidRPr="00FD6015">
        <w:t xml:space="preserve">, </w:t>
      </w:r>
      <w:r w:rsidR="00FD6015" w:rsidRPr="00FD6015">
        <w:rPr>
          <w:i/>
        </w:rPr>
        <w:t>soccer</w:t>
      </w:r>
      <w:r w:rsidR="00FD6015" w:rsidRPr="00FD6015">
        <w:t xml:space="preserve">, </w:t>
      </w:r>
      <w:r w:rsidR="00FD6015" w:rsidRPr="00FD6015">
        <w:rPr>
          <w:i/>
        </w:rPr>
        <w:t>school sport class</w:t>
      </w:r>
      <w:r w:rsidR="00FD6015" w:rsidRPr="00FD6015">
        <w:t xml:space="preserve">, </w:t>
      </w:r>
      <w:r w:rsidR="00FD6015" w:rsidRPr="00FD6015">
        <w:rPr>
          <w:i/>
        </w:rPr>
        <w:t>tennis</w:t>
      </w:r>
      <w:r w:rsidR="00FD6015" w:rsidRPr="00FD6015">
        <w:t xml:space="preserve">, </w:t>
      </w:r>
      <w:r w:rsidR="00FD6015" w:rsidRPr="00FD6015">
        <w:rPr>
          <w:i/>
        </w:rPr>
        <w:t>golf</w:t>
      </w:r>
      <w:r w:rsidR="00FD6015" w:rsidRPr="00FD6015">
        <w:t xml:space="preserve">, </w:t>
      </w:r>
      <w:r w:rsidR="00FD6015" w:rsidRPr="00FD6015">
        <w:rPr>
          <w:i/>
        </w:rPr>
        <w:t>hockey</w:t>
      </w:r>
      <w:r w:rsidR="00FD6015" w:rsidRPr="00FD6015">
        <w:t xml:space="preserve">, </w:t>
      </w:r>
      <w:r w:rsidR="00FD6015" w:rsidRPr="00FD6015">
        <w:rPr>
          <w:i/>
        </w:rPr>
        <w:t>martial arts</w:t>
      </w:r>
      <w:r w:rsidR="00FD6015" w:rsidRPr="00FD6015">
        <w:t xml:space="preserve">, </w:t>
      </w:r>
      <w:r w:rsidR="00FD6015" w:rsidRPr="00FD6015">
        <w:rPr>
          <w:i/>
        </w:rPr>
        <w:t>rowing</w:t>
      </w:r>
      <w:r w:rsidR="00FD6015" w:rsidRPr="00FD6015">
        <w:t xml:space="preserve">, </w:t>
      </w:r>
      <w:r w:rsidR="00FD6015" w:rsidRPr="00FD6015">
        <w:rPr>
          <w:i/>
        </w:rPr>
        <w:t>rugby</w:t>
      </w:r>
      <w:r w:rsidR="00FD6015" w:rsidRPr="00FD6015">
        <w:t xml:space="preserve">, </w:t>
      </w:r>
      <w:r w:rsidR="00FD6015" w:rsidRPr="00FD6015">
        <w:rPr>
          <w:i/>
        </w:rPr>
        <w:t>squash</w:t>
      </w:r>
      <w:r w:rsidR="00FD6015" w:rsidRPr="00FD6015">
        <w:t xml:space="preserve">, </w:t>
      </w:r>
      <w:r w:rsidR="00FD6015" w:rsidRPr="00FD6015">
        <w:rPr>
          <w:i/>
        </w:rPr>
        <w:t>surfing</w:t>
      </w:r>
      <w:r w:rsidR="00FD6015" w:rsidRPr="00FD6015">
        <w:t xml:space="preserve">, </w:t>
      </w:r>
      <w:r w:rsidR="00FD6015" w:rsidRPr="00FD6015">
        <w:rPr>
          <w:i/>
        </w:rPr>
        <w:t>touch football</w:t>
      </w:r>
      <w:r w:rsidR="00FD6015" w:rsidRPr="00FD6015">
        <w:t xml:space="preserve">, </w:t>
      </w:r>
      <w:r w:rsidR="00FD6015" w:rsidRPr="00FD6015">
        <w:rPr>
          <w:i/>
        </w:rPr>
        <w:t>volleyball</w:t>
      </w:r>
      <w:r w:rsidR="00FD6015" w:rsidRPr="00FD6015">
        <w:t>,</w:t>
      </w:r>
      <w:r w:rsidR="00FD6015">
        <w:t xml:space="preserve"> and</w:t>
      </w:r>
      <w:r w:rsidR="00FD6015" w:rsidRPr="00FD6015">
        <w:t xml:space="preserve"> </w:t>
      </w:r>
      <w:r w:rsidR="00FD6015" w:rsidRPr="00FD6015">
        <w:rPr>
          <w:i/>
        </w:rPr>
        <w:t>swimming</w:t>
      </w:r>
      <w:r w:rsidR="00DC7671" w:rsidRPr="00DC7671">
        <w:t xml:space="preserve">. </w:t>
      </w:r>
      <w:r w:rsidR="00345EFE" w:rsidRPr="00DD27A9">
        <w:t>A response to each organised sport item was capped at seven (ranging from 0-7 times/week)</w:t>
      </w:r>
      <w:r w:rsidR="00345EFE">
        <w:t xml:space="preserve">. </w:t>
      </w:r>
    </w:p>
    <w:p w14:paraId="4EC05B56" w14:textId="5EF7B98F" w:rsidR="00B05CF3" w:rsidRDefault="00B05CF3" w:rsidP="00B05CF3">
      <w:pPr>
        <w:pStyle w:val="Heading3"/>
      </w:pPr>
      <w:r>
        <w:t>SPEEDY</w:t>
      </w:r>
    </w:p>
    <w:p w14:paraId="5A4362DB" w14:textId="5E844177" w:rsidR="00B05CF3" w:rsidRPr="00886492" w:rsidRDefault="00B05CF3" w:rsidP="001A3C1F">
      <w:r w:rsidRPr="00886492">
        <w:t>Fourteen types of organised sports</w:t>
      </w:r>
      <w:r w:rsidR="00886492">
        <w:t xml:space="preserve"> were</w:t>
      </w:r>
      <w:r w:rsidRPr="00886492">
        <w:t xml:space="preserve"> included: </w:t>
      </w:r>
      <w:r w:rsidR="00886492" w:rsidRPr="00886492">
        <w:rPr>
          <w:i/>
        </w:rPr>
        <w:t>softball/</w:t>
      </w:r>
      <w:proofErr w:type="spellStart"/>
      <w:r w:rsidR="00886492" w:rsidRPr="00886492">
        <w:rPr>
          <w:i/>
        </w:rPr>
        <w:t>rounders</w:t>
      </w:r>
      <w:proofErr w:type="spellEnd"/>
      <w:r w:rsidR="00886492" w:rsidRPr="00886492">
        <w:t xml:space="preserve">, </w:t>
      </w:r>
      <w:r w:rsidR="00886492" w:rsidRPr="00886492">
        <w:rPr>
          <w:i/>
        </w:rPr>
        <w:t>basketball/volleyball</w:t>
      </w:r>
      <w:r w:rsidR="00886492" w:rsidRPr="00886492">
        <w:t xml:space="preserve">, </w:t>
      </w:r>
      <w:r w:rsidR="00886492" w:rsidRPr="00886492">
        <w:rPr>
          <w:i/>
        </w:rPr>
        <w:t>cricket</w:t>
      </w:r>
      <w:r w:rsidR="00886492" w:rsidRPr="00886492">
        <w:t xml:space="preserve">, </w:t>
      </w:r>
      <w:r w:rsidR="00886492" w:rsidRPr="00886492">
        <w:rPr>
          <w:i/>
        </w:rPr>
        <w:t>dance</w:t>
      </w:r>
      <w:r w:rsidR="00886492" w:rsidRPr="00886492">
        <w:t xml:space="preserve">, </w:t>
      </w:r>
      <w:r w:rsidR="00886492" w:rsidRPr="00886492">
        <w:rPr>
          <w:i/>
        </w:rPr>
        <w:t>football</w:t>
      </w:r>
      <w:r w:rsidR="00886492" w:rsidRPr="00886492">
        <w:t xml:space="preserve">, </w:t>
      </w:r>
      <w:r w:rsidR="00886492" w:rsidRPr="00886492">
        <w:rPr>
          <w:i/>
        </w:rPr>
        <w:t>gymnastics</w:t>
      </w:r>
      <w:r w:rsidR="00886492" w:rsidRPr="00886492">
        <w:t xml:space="preserve">, </w:t>
      </w:r>
      <w:r w:rsidR="00886492" w:rsidRPr="00886492">
        <w:rPr>
          <w:i/>
        </w:rPr>
        <w:t>hockey</w:t>
      </w:r>
      <w:r w:rsidR="00886492" w:rsidRPr="00886492">
        <w:t xml:space="preserve">, </w:t>
      </w:r>
      <w:r w:rsidR="00886492" w:rsidRPr="00886492">
        <w:rPr>
          <w:i/>
        </w:rPr>
        <w:t>martial arts</w:t>
      </w:r>
      <w:r w:rsidR="00886492" w:rsidRPr="00886492">
        <w:t xml:space="preserve">, </w:t>
      </w:r>
      <w:r w:rsidR="00886492" w:rsidRPr="00886492">
        <w:rPr>
          <w:i/>
        </w:rPr>
        <w:t>netball</w:t>
      </w:r>
      <w:r w:rsidR="00886492" w:rsidRPr="00886492">
        <w:t xml:space="preserve">, </w:t>
      </w:r>
      <w:r w:rsidR="00886492" w:rsidRPr="00886492">
        <w:rPr>
          <w:i/>
        </w:rPr>
        <w:t>rugby</w:t>
      </w:r>
      <w:r w:rsidR="00886492" w:rsidRPr="00886492">
        <w:t xml:space="preserve">, </w:t>
      </w:r>
      <w:r w:rsidR="00886492" w:rsidRPr="00886492">
        <w:rPr>
          <w:i/>
        </w:rPr>
        <w:t>tennis/badminton/squash</w:t>
      </w:r>
      <w:r w:rsidR="00886492" w:rsidRPr="00886492">
        <w:t xml:space="preserve">, </w:t>
      </w:r>
      <w:r w:rsidR="00886492" w:rsidRPr="00886492">
        <w:rPr>
          <w:i/>
        </w:rPr>
        <w:t>bowling</w:t>
      </w:r>
      <w:r w:rsidR="00886492" w:rsidRPr="00886492">
        <w:t xml:space="preserve">, </w:t>
      </w:r>
      <w:r w:rsidR="00886492" w:rsidRPr="00886492">
        <w:rPr>
          <w:i/>
        </w:rPr>
        <w:t>skiing/snowboarding/sledging</w:t>
      </w:r>
      <w:r w:rsidR="00886492" w:rsidRPr="00886492">
        <w:t xml:space="preserve">, </w:t>
      </w:r>
      <w:r w:rsidR="00886492" w:rsidRPr="00886492">
        <w:rPr>
          <w:i/>
        </w:rPr>
        <w:t>swimming</w:t>
      </w:r>
      <w:r w:rsidR="00DC7671" w:rsidRPr="00DC7671">
        <w:t xml:space="preserve">. </w:t>
      </w:r>
      <w:r w:rsidR="00217F9B">
        <w:t>Categorical responses were converted to scores using t</w:t>
      </w:r>
      <w:r w:rsidR="00345EFE">
        <w:t>h</w:t>
      </w:r>
      <w:r w:rsidR="00D87DEB">
        <w:t>e same scoring system as this study</w:t>
      </w:r>
      <w:r w:rsidR="00345EFE">
        <w:t>: ‘</w:t>
      </w:r>
      <w:r w:rsidR="00F01998">
        <w:t>never’ = 0, ‘once’ = 1, ‘2-3 times’ = 2.5, and ‘more than 4 times’</w:t>
      </w:r>
      <w:r w:rsidR="00D87DEB">
        <w:t xml:space="preserve"> = 4.5. </w:t>
      </w:r>
    </w:p>
    <w:p w14:paraId="69B97199" w14:textId="77777777" w:rsidR="00B05CF3" w:rsidRDefault="00B05CF3" w:rsidP="001A3C1F">
      <w:pPr>
        <w:rPr>
          <w:highlight w:val="yellow"/>
        </w:rPr>
      </w:pPr>
    </w:p>
    <w:p w14:paraId="36076083" w14:textId="316E3B4C" w:rsidR="001A3C1F" w:rsidRDefault="001A3C1F" w:rsidP="001A3C1F">
      <w:r w:rsidRPr="00F479AA">
        <w:t xml:space="preserve">Based on zero and quartile values (25th, 50th, 75th) of each study, the frequency was then classified as </w:t>
      </w:r>
      <w:r w:rsidR="00886492" w:rsidRPr="00F479AA">
        <w:t>‘</w:t>
      </w:r>
      <w:r w:rsidRPr="00F479AA">
        <w:t>never</w:t>
      </w:r>
      <w:r w:rsidR="00886492" w:rsidRPr="00F479AA">
        <w:t>’</w:t>
      </w:r>
      <w:r w:rsidRPr="00F479AA">
        <w:t xml:space="preserve">, </w:t>
      </w:r>
      <w:r w:rsidR="00886492" w:rsidRPr="00F479AA">
        <w:t>‘</w:t>
      </w:r>
      <w:r w:rsidRPr="00F479AA">
        <w:t>occasionally</w:t>
      </w:r>
      <w:r w:rsidR="00886492" w:rsidRPr="00F479AA">
        <w:t>’</w:t>
      </w:r>
      <w:r w:rsidRPr="00F479AA">
        <w:t xml:space="preserve">, </w:t>
      </w:r>
      <w:r w:rsidR="00886492" w:rsidRPr="00F479AA">
        <w:t>‘</w:t>
      </w:r>
      <w:r w:rsidRPr="00F479AA">
        <w:t>sometimes</w:t>
      </w:r>
      <w:r w:rsidR="00886492" w:rsidRPr="00F479AA">
        <w:t>’</w:t>
      </w:r>
      <w:r w:rsidRPr="00F479AA">
        <w:t xml:space="preserve">, </w:t>
      </w:r>
      <w:r w:rsidR="00886492" w:rsidRPr="00F479AA">
        <w:t>‘</w:t>
      </w:r>
      <w:r w:rsidRPr="00F479AA">
        <w:t>often</w:t>
      </w:r>
      <w:r w:rsidR="00886492" w:rsidRPr="00F479AA">
        <w:t>’</w:t>
      </w:r>
      <w:r w:rsidRPr="00F479AA">
        <w:t xml:space="preserve"> and </w:t>
      </w:r>
      <w:r w:rsidR="00886492" w:rsidRPr="00F479AA">
        <w:t>‘</w:t>
      </w:r>
      <w:r w:rsidRPr="00F479AA">
        <w:t>usually</w:t>
      </w:r>
      <w:r w:rsidR="00886492" w:rsidRPr="00F479AA">
        <w:t>’</w:t>
      </w:r>
      <w:r w:rsidRPr="00F479AA">
        <w:t xml:space="preserve">. For SPEEDY, missing values were imputed using a modal value of two (times per week) if data on the session length were reported as &gt; 0 minutes.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766"/>
        <w:gridCol w:w="700"/>
        <w:gridCol w:w="717"/>
        <w:gridCol w:w="618"/>
        <w:gridCol w:w="120"/>
        <w:gridCol w:w="767"/>
        <w:gridCol w:w="1397"/>
        <w:gridCol w:w="1258"/>
        <w:gridCol w:w="734"/>
        <w:gridCol w:w="894"/>
      </w:tblGrid>
      <w:tr w:rsidR="001E4421" w:rsidRPr="001A3C1F" w14:paraId="71887134" w14:textId="77777777" w:rsidTr="001E4421">
        <w:trPr>
          <w:trHeight w:val="300"/>
        </w:trPr>
        <w:tc>
          <w:tcPr>
            <w:tcW w:w="1055" w:type="dxa"/>
            <w:tcBorders>
              <w:top w:val="single" w:sz="4" w:space="0" w:color="auto"/>
            </w:tcBorders>
            <w:noWrap/>
            <w:hideMark/>
          </w:tcPr>
          <w:p w14:paraId="2D3509C2" w14:textId="77777777" w:rsidR="001E4421" w:rsidRPr="001A3C1F" w:rsidRDefault="001E4421" w:rsidP="009A7CA1">
            <w:pPr>
              <w:spacing w:after="0"/>
            </w:pP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hideMark/>
          </w:tcPr>
          <w:p w14:paraId="66C41C42" w14:textId="77777777" w:rsidR="001E4421" w:rsidRPr="001A3C1F" w:rsidRDefault="001E4421" w:rsidP="001E4421">
            <w:pPr>
              <w:spacing w:after="0"/>
              <w:jc w:val="center"/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D0671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Percentiles</w:t>
            </w:r>
          </w:p>
        </w:tc>
        <w:tc>
          <w:tcPr>
            <w:tcW w:w="120" w:type="dxa"/>
            <w:tcBorders>
              <w:top w:val="single" w:sz="4" w:space="0" w:color="auto"/>
            </w:tcBorders>
          </w:tcPr>
          <w:p w14:paraId="51357FDA" w14:textId="77777777" w:rsidR="001E4421" w:rsidRPr="001A3C1F" w:rsidRDefault="001E4421" w:rsidP="001E4421">
            <w:pPr>
              <w:spacing w:after="0"/>
              <w:jc w:val="center"/>
            </w:pPr>
          </w:p>
        </w:tc>
        <w:tc>
          <w:tcPr>
            <w:tcW w:w="505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CD732" w14:textId="186E0EAB" w:rsidR="001E4421" w:rsidRPr="001A3C1F" w:rsidRDefault="001E4421" w:rsidP="001E4421">
            <w:pPr>
              <w:spacing w:after="0"/>
              <w:jc w:val="center"/>
            </w:pPr>
            <w:r w:rsidRPr="001A3C1F">
              <w:t>Category</w:t>
            </w:r>
          </w:p>
        </w:tc>
      </w:tr>
      <w:tr w:rsidR="001E4421" w:rsidRPr="001A3C1F" w14:paraId="5F76D8B8" w14:textId="77777777" w:rsidTr="001E4421">
        <w:trPr>
          <w:trHeight w:val="300"/>
        </w:trPr>
        <w:tc>
          <w:tcPr>
            <w:tcW w:w="1055" w:type="dxa"/>
            <w:tcBorders>
              <w:bottom w:val="single" w:sz="4" w:space="0" w:color="auto"/>
            </w:tcBorders>
            <w:noWrap/>
            <w:hideMark/>
          </w:tcPr>
          <w:p w14:paraId="1A6BC224" w14:textId="77777777" w:rsidR="001E4421" w:rsidRPr="001A3C1F" w:rsidRDefault="001E4421" w:rsidP="009A7CA1">
            <w:pPr>
              <w:spacing w:after="0"/>
            </w:pP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14:paraId="3303A86F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N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617D7F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25th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183C70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50th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38395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75th</w:t>
            </w:r>
          </w:p>
        </w:tc>
        <w:tc>
          <w:tcPr>
            <w:tcW w:w="120" w:type="dxa"/>
            <w:tcBorders>
              <w:bottom w:val="single" w:sz="4" w:space="0" w:color="auto"/>
            </w:tcBorders>
          </w:tcPr>
          <w:p w14:paraId="72A5F032" w14:textId="77777777" w:rsidR="001E4421" w:rsidRPr="001A3C1F" w:rsidRDefault="001E4421" w:rsidP="001E4421">
            <w:pPr>
              <w:spacing w:after="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6BBE60" w14:textId="2F5BDFD0" w:rsidR="001E4421" w:rsidRPr="001A3C1F" w:rsidRDefault="001E4421" w:rsidP="001E4421">
            <w:pPr>
              <w:spacing w:after="0"/>
              <w:jc w:val="center"/>
            </w:pPr>
            <w:r w:rsidRPr="001A3C1F">
              <w:t>Never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733B25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Occasionally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B0E537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Sometimes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5642AD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Often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48BC90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Usually</w:t>
            </w:r>
          </w:p>
        </w:tc>
      </w:tr>
      <w:tr w:rsidR="001E4421" w:rsidRPr="001A3C1F" w14:paraId="01FCEE0A" w14:textId="77777777" w:rsidTr="001E4421">
        <w:trPr>
          <w:trHeight w:val="300"/>
        </w:trPr>
        <w:tc>
          <w:tcPr>
            <w:tcW w:w="1055" w:type="dxa"/>
            <w:tcBorders>
              <w:top w:val="single" w:sz="4" w:space="0" w:color="auto"/>
            </w:tcBorders>
            <w:noWrap/>
            <w:hideMark/>
          </w:tcPr>
          <w:p w14:paraId="6D650726" w14:textId="77777777" w:rsidR="001E4421" w:rsidRPr="001A3C1F" w:rsidRDefault="001E4421" w:rsidP="009A7CA1">
            <w:pPr>
              <w:spacing w:after="0"/>
            </w:pPr>
            <w:r w:rsidRPr="001A3C1F">
              <w:t>ALSPAC</w:t>
            </w: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hideMark/>
          </w:tcPr>
          <w:p w14:paraId="57D023C1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3,903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14:paraId="66F89321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1</w:t>
            </w:r>
          </w:p>
        </w:tc>
        <w:tc>
          <w:tcPr>
            <w:tcW w:w="717" w:type="dxa"/>
            <w:tcBorders>
              <w:top w:val="single" w:sz="4" w:space="0" w:color="auto"/>
            </w:tcBorders>
            <w:noWrap/>
            <w:hideMark/>
          </w:tcPr>
          <w:p w14:paraId="69314808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2</w:t>
            </w: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hideMark/>
          </w:tcPr>
          <w:p w14:paraId="22A53C17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4</w:t>
            </w:r>
          </w:p>
        </w:tc>
        <w:tc>
          <w:tcPr>
            <w:tcW w:w="120" w:type="dxa"/>
            <w:tcBorders>
              <w:top w:val="single" w:sz="4" w:space="0" w:color="auto"/>
            </w:tcBorders>
          </w:tcPr>
          <w:p w14:paraId="00F9497F" w14:textId="77777777" w:rsidR="001E4421" w:rsidRPr="001A3C1F" w:rsidRDefault="001E4421" w:rsidP="001E4421">
            <w:pPr>
              <w:spacing w:after="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37FF0863" w14:textId="619A8BFD" w:rsidR="001E4421" w:rsidRPr="001A3C1F" w:rsidRDefault="001E4421" w:rsidP="001E4421">
            <w:pPr>
              <w:spacing w:after="0"/>
              <w:jc w:val="center"/>
            </w:pPr>
            <w:r w:rsidRPr="001A3C1F">
              <w:t>0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noWrap/>
            <w:hideMark/>
          </w:tcPr>
          <w:p w14:paraId="4DF18320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0.5-1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  <w:hideMark/>
          </w:tcPr>
          <w:p w14:paraId="45402F34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1.5-2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hideMark/>
          </w:tcPr>
          <w:p w14:paraId="4A5FA9CB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2.5-4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hideMark/>
          </w:tcPr>
          <w:p w14:paraId="5301AAA9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&gt;4</w:t>
            </w:r>
          </w:p>
        </w:tc>
      </w:tr>
      <w:tr w:rsidR="001E4421" w:rsidRPr="001A3C1F" w14:paraId="5DA1C821" w14:textId="77777777" w:rsidTr="001E4421">
        <w:trPr>
          <w:trHeight w:val="300"/>
        </w:trPr>
        <w:tc>
          <w:tcPr>
            <w:tcW w:w="1055" w:type="dxa"/>
            <w:noWrap/>
            <w:hideMark/>
          </w:tcPr>
          <w:p w14:paraId="5F44A489" w14:textId="77777777" w:rsidR="001E4421" w:rsidRPr="001A3C1F" w:rsidRDefault="001E4421" w:rsidP="009A7CA1">
            <w:pPr>
              <w:spacing w:after="0"/>
            </w:pPr>
            <w:r w:rsidRPr="001A3C1F">
              <w:t>CLAN</w:t>
            </w:r>
          </w:p>
        </w:tc>
        <w:tc>
          <w:tcPr>
            <w:tcW w:w="766" w:type="dxa"/>
            <w:noWrap/>
            <w:hideMark/>
          </w:tcPr>
          <w:p w14:paraId="676910BC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435</w:t>
            </w:r>
          </w:p>
        </w:tc>
        <w:tc>
          <w:tcPr>
            <w:tcW w:w="700" w:type="dxa"/>
            <w:noWrap/>
            <w:hideMark/>
          </w:tcPr>
          <w:p w14:paraId="44B3DB88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4</w:t>
            </w:r>
          </w:p>
        </w:tc>
        <w:tc>
          <w:tcPr>
            <w:tcW w:w="717" w:type="dxa"/>
            <w:noWrap/>
            <w:hideMark/>
          </w:tcPr>
          <w:p w14:paraId="42F9C513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6</w:t>
            </w:r>
          </w:p>
        </w:tc>
        <w:tc>
          <w:tcPr>
            <w:tcW w:w="618" w:type="dxa"/>
            <w:noWrap/>
            <w:hideMark/>
          </w:tcPr>
          <w:p w14:paraId="030A4D7C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10</w:t>
            </w:r>
          </w:p>
        </w:tc>
        <w:tc>
          <w:tcPr>
            <w:tcW w:w="120" w:type="dxa"/>
          </w:tcPr>
          <w:p w14:paraId="43F850B0" w14:textId="77777777" w:rsidR="001E4421" w:rsidRPr="001A3C1F" w:rsidRDefault="001E4421" w:rsidP="001E4421">
            <w:pPr>
              <w:spacing w:after="0"/>
              <w:jc w:val="center"/>
            </w:pPr>
          </w:p>
        </w:tc>
        <w:tc>
          <w:tcPr>
            <w:tcW w:w="767" w:type="dxa"/>
            <w:noWrap/>
            <w:hideMark/>
          </w:tcPr>
          <w:p w14:paraId="3D4B50E2" w14:textId="4445C737" w:rsidR="001E4421" w:rsidRPr="001A3C1F" w:rsidRDefault="001E4421" w:rsidP="001E4421">
            <w:pPr>
              <w:spacing w:after="0"/>
              <w:jc w:val="center"/>
            </w:pPr>
            <w:r w:rsidRPr="001A3C1F">
              <w:t>0</w:t>
            </w:r>
          </w:p>
        </w:tc>
        <w:tc>
          <w:tcPr>
            <w:tcW w:w="1397" w:type="dxa"/>
            <w:noWrap/>
            <w:hideMark/>
          </w:tcPr>
          <w:p w14:paraId="0D6AC8D8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0.5-4</w:t>
            </w:r>
          </w:p>
        </w:tc>
        <w:tc>
          <w:tcPr>
            <w:tcW w:w="1258" w:type="dxa"/>
            <w:noWrap/>
            <w:hideMark/>
          </w:tcPr>
          <w:p w14:paraId="54A7CFAC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4.5-6</w:t>
            </w:r>
          </w:p>
        </w:tc>
        <w:tc>
          <w:tcPr>
            <w:tcW w:w="734" w:type="dxa"/>
            <w:noWrap/>
            <w:hideMark/>
          </w:tcPr>
          <w:p w14:paraId="44D6E515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6.5-10</w:t>
            </w:r>
          </w:p>
        </w:tc>
        <w:tc>
          <w:tcPr>
            <w:tcW w:w="894" w:type="dxa"/>
            <w:noWrap/>
            <w:hideMark/>
          </w:tcPr>
          <w:p w14:paraId="031F2A2E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&gt;10</w:t>
            </w:r>
          </w:p>
        </w:tc>
      </w:tr>
      <w:tr w:rsidR="001E4421" w:rsidRPr="001A3C1F" w14:paraId="1B7071FC" w14:textId="77777777" w:rsidTr="001E4421">
        <w:trPr>
          <w:trHeight w:val="300"/>
        </w:trPr>
        <w:tc>
          <w:tcPr>
            <w:tcW w:w="1055" w:type="dxa"/>
            <w:tcBorders>
              <w:bottom w:val="single" w:sz="4" w:space="0" w:color="auto"/>
            </w:tcBorders>
            <w:noWrap/>
            <w:hideMark/>
          </w:tcPr>
          <w:p w14:paraId="22877448" w14:textId="77777777" w:rsidR="001E4421" w:rsidRPr="001A3C1F" w:rsidRDefault="001E4421" w:rsidP="009A7CA1">
            <w:pPr>
              <w:spacing w:after="0"/>
            </w:pPr>
            <w:r w:rsidRPr="001A3C1F">
              <w:t>SPEEDY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14:paraId="4184B3EA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1,583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14:paraId="1AF6F5F8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3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hideMark/>
          </w:tcPr>
          <w:p w14:paraId="0F46FC65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6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hideMark/>
          </w:tcPr>
          <w:p w14:paraId="314D653E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11</w:t>
            </w:r>
          </w:p>
        </w:tc>
        <w:tc>
          <w:tcPr>
            <w:tcW w:w="120" w:type="dxa"/>
            <w:tcBorders>
              <w:bottom w:val="single" w:sz="4" w:space="0" w:color="auto"/>
            </w:tcBorders>
          </w:tcPr>
          <w:p w14:paraId="3D13E2D9" w14:textId="77777777" w:rsidR="001E4421" w:rsidRPr="001A3C1F" w:rsidRDefault="001E4421" w:rsidP="001E4421">
            <w:pPr>
              <w:spacing w:after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0131B7FF" w14:textId="642D68A1" w:rsidR="001E4421" w:rsidRPr="001A3C1F" w:rsidRDefault="001E4421" w:rsidP="001E4421">
            <w:pPr>
              <w:spacing w:after="0"/>
              <w:jc w:val="center"/>
            </w:pPr>
            <w:r w:rsidRPr="001A3C1F">
              <w:t>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noWrap/>
            <w:hideMark/>
          </w:tcPr>
          <w:p w14:paraId="6B6C5527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0.5-3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hideMark/>
          </w:tcPr>
          <w:p w14:paraId="360B96C1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3.5-6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14:paraId="75A34A8B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6.5-11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14:paraId="146FADEF" w14:textId="77777777" w:rsidR="001E4421" w:rsidRPr="001A3C1F" w:rsidRDefault="001E4421" w:rsidP="001E4421">
            <w:pPr>
              <w:spacing w:after="0"/>
              <w:jc w:val="center"/>
            </w:pPr>
            <w:r w:rsidRPr="001A3C1F">
              <w:t>&gt;11</w:t>
            </w:r>
          </w:p>
        </w:tc>
      </w:tr>
    </w:tbl>
    <w:p w14:paraId="69F50E3B" w14:textId="296E4C48" w:rsidR="001A3C1F" w:rsidRDefault="001A3C1F" w:rsidP="0038428D"/>
    <w:sectPr w:rsidR="001A3C1F" w:rsidSect="009D2A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A1"/>
    <w:multiLevelType w:val="hybridMultilevel"/>
    <w:tmpl w:val="E870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CB"/>
    <w:multiLevelType w:val="hybridMultilevel"/>
    <w:tmpl w:val="764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E33"/>
    <w:multiLevelType w:val="hybridMultilevel"/>
    <w:tmpl w:val="BB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at2zejxazspevt0ipxd0qxxtsrspzzvaz&quot;&gt;Erika EndNote&lt;record-ids&gt;&lt;item&gt;1654&lt;/item&gt;&lt;item&gt;1737&lt;/item&gt;&lt;item&gt;1739&lt;/item&gt;&lt;item&gt;1743&lt;/item&gt;&lt;item&gt;1744&lt;/item&gt;&lt;item&gt;1745&lt;/item&gt;&lt;item&gt;1778&lt;/item&gt;&lt;/record-ids&gt;&lt;/item&gt;&lt;/Libraries&gt;"/>
  </w:docVars>
  <w:rsids>
    <w:rsidRoot w:val="00D241D5"/>
    <w:rsid w:val="00014D94"/>
    <w:rsid w:val="00020D73"/>
    <w:rsid w:val="00025F57"/>
    <w:rsid w:val="00033753"/>
    <w:rsid w:val="000465AF"/>
    <w:rsid w:val="00064C35"/>
    <w:rsid w:val="00065A7B"/>
    <w:rsid w:val="00076DA7"/>
    <w:rsid w:val="000C778D"/>
    <w:rsid w:val="001037C8"/>
    <w:rsid w:val="00105892"/>
    <w:rsid w:val="00107F72"/>
    <w:rsid w:val="0015533D"/>
    <w:rsid w:val="00173676"/>
    <w:rsid w:val="001A3C1F"/>
    <w:rsid w:val="001C6DC2"/>
    <w:rsid w:val="001E4421"/>
    <w:rsid w:val="00217F9B"/>
    <w:rsid w:val="00283A39"/>
    <w:rsid w:val="00284F14"/>
    <w:rsid w:val="002A2814"/>
    <w:rsid w:val="002B6038"/>
    <w:rsid w:val="002E0647"/>
    <w:rsid w:val="002E3C09"/>
    <w:rsid w:val="00313E00"/>
    <w:rsid w:val="00320CD8"/>
    <w:rsid w:val="00320FF8"/>
    <w:rsid w:val="00345EFE"/>
    <w:rsid w:val="00351F9B"/>
    <w:rsid w:val="003806B3"/>
    <w:rsid w:val="0038428D"/>
    <w:rsid w:val="0039327B"/>
    <w:rsid w:val="003E175F"/>
    <w:rsid w:val="003F6223"/>
    <w:rsid w:val="00452877"/>
    <w:rsid w:val="004566CD"/>
    <w:rsid w:val="00456F05"/>
    <w:rsid w:val="004A419B"/>
    <w:rsid w:val="005211D9"/>
    <w:rsid w:val="00530B99"/>
    <w:rsid w:val="00533E48"/>
    <w:rsid w:val="00562B70"/>
    <w:rsid w:val="005E6160"/>
    <w:rsid w:val="00602FE9"/>
    <w:rsid w:val="00647D31"/>
    <w:rsid w:val="006A09B0"/>
    <w:rsid w:val="006A4581"/>
    <w:rsid w:val="006B798E"/>
    <w:rsid w:val="006C12E2"/>
    <w:rsid w:val="006C5737"/>
    <w:rsid w:val="00712AFC"/>
    <w:rsid w:val="0075266A"/>
    <w:rsid w:val="007639BA"/>
    <w:rsid w:val="00773DBE"/>
    <w:rsid w:val="00775C25"/>
    <w:rsid w:val="007A0441"/>
    <w:rsid w:val="007B2FBE"/>
    <w:rsid w:val="008258FB"/>
    <w:rsid w:val="008316A1"/>
    <w:rsid w:val="00856B88"/>
    <w:rsid w:val="0087180E"/>
    <w:rsid w:val="0088257E"/>
    <w:rsid w:val="00886492"/>
    <w:rsid w:val="00927240"/>
    <w:rsid w:val="009352B5"/>
    <w:rsid w:val="00964B0D"/>
    <w:rsid w:val="00983392"/>
    <w:rsid w:val="0099705B"/>
    <w:rsid w:val="009A4C9B"/>
    <w:rsid w:val="009A7CA1"/>
    <w:rsid w:val="009B38C5"/>
    <w:rsid w:val="009B7581"/>
    <w:rsid w:val="009D1334"/>
    <w:rsid w:val="009D2A5F"/>
    <w:rsid w:val="009F249E"/>
    <w:rsid w:val="00A27EF7"/>
    <w:rsid w:val="00A57D03"/>
    <w:rsid w:val="00AA435A"/>
    <w:rsid w:val="00AD3DF1"/>
    <w:rsid w:val="00AF4B8F"/>
    <w:rsid w:val="00AF7E98"/>
    <w:rsid w:val="00B04FF1"/>
    <w:rsid w:val="00B05CF3"/>
    <w:rsid w:val="00B359D0"/>
    <w:rsid w:val="00BD0217"/>
    <w:rsid w:val="00BE3CCB"/>
    <w:rsid w:val="00C055EF"/>
    <w:rsid w:val="00C157DD"/>
    <w:rsid w:val="00C2020A"/>
    <w:rsid w:val="00C33369"/>
    <w:rsid w:val="00C76E6A"/>
    <w:rsid w:val="00C82A34"/>
    <w:rsid w:val="00CA6A8E"/>
    <w:rsid w:val="00CC6F2B"/>
    <w:rsid w:val="00CC7762"/>
    <w:rsid w:val="00CE0A09"/>
    <w:rsid w:val="00CE69AC"/>
    <w:rsid w:val="00D049B0"/>
    <w:rsid w:val="00D05F80"/>
    <w:rsid w:val="00D241D5"/>
    <w:rsid w:val="00D50008"/>
    <w:rsid w:val="00D543F6"/>
    <w:rsid w:val="00D87DEB"/>
    <w:rsid w:val="00D90E77"/>
    <w:rsid w:val="00DB026A"/>
    <w:rsid w:val="00DC7671"/>
    <w:rsid w:val="00DD27A9"/>
    <w:rsid w:val="00E151CD"/>
    <w:rsid w:val="00E16F59"/>
    <w:rsid w:val="00E6711A"/>
    <w:rsid w:val="00EA5C75"/>
    <w:rsid w:val="00ED1E5A"/>
    <w:rsid w:val="00ED3FC9"/>
    <w:rsid w:val="00EE03F2"/>
    <w:rsid w:val="00F01998"/>
    <w:rsid w:val="00F13B24"/>
    <w:rsid w:val="00F15BBC"/>
    <w:rsid w:val="00F3138A"/>
    <w:rsid w:val="00F37C68"/>
    <w:rsid w:val="00F479AA"/>
    <w:rsid w:val="00F65120"/>
    <w:rsid w:val="00FB7245"/>
    <w:rsid w:val="00FC2986"/>
    <w:rsid w:val="00FD6015"/>
    <w:rsid w:val="00FE20A0"/>
    <w:rsid w:val="00FE6F5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3F2"/>
  <w15:chartTrackingRefBased/>
  <w15:docId w15:val="{20CA67AA-47FD-4DB5-A7FA-08FAE20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1F"/>
    <w:pPr>
      <w:spacing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B"/>
    <w:pPr>
      <w:keepNext/>
      <w:keepLines/>
      <w:spacing w:before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2B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A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F1"/>
    <w:pPr>
      <w:keepNext/>
      <w:keepLines/>
      <w:spacing w:before="240" w:line="360" w:lineRule="auto"/>
      <w:jc w:val="both"/>
      <w:outlineLvl w:val="3"/>
    </w:pPr>
    <w:rPr>
      <w:rFonts w:eastAsiaTheme="majorEastAsia" w:cstheme="majorBidi"/>
      <w:i/>
      <w:iCs/>
      <w:color w:val="000000" w:themeColor="text1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F2B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2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E6A"/>
    <w:rPr>
      <w:rFonts w:ascii="Arial" w:eastAsiaTheme="majorEastAsia" w:hAnsi="Arial" w:cstheme="majorBidi"/>
      <w:i/>
      <w:sz w:val="21"/>
      <w:szCs w:val="24"/>
    </w:rPr>
  </w:style>
  <w:style w:type="table" w:styleId="TableGrid">
    <w:name w:val="Table Grid"/>
    <w:basedOn w:val="TableNormal"/>
    <w:uiPriority w:val="59"/>
    <w:rsid w:val="001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F1"/>
    <w:rPr>
      <w:rFonts w:ascii="Arial" w:eastAsiaTheme="majorEastAsia" w:hAnsi="Arial" w:cstheme="majorBidi"/>
      <w:i/>
      <w:iCs/>
      <w:color w:val="000000" w:themeColor="text1"/>
      <w:sz w:val="21"/>
      <w:lang w:val="en-NZ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3D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F1"/>
    <w:pPr>
      <w:spacing w:after="240" w:line="360" w:lineRule="auto"/>
      <w:jc w:val="both"/>
    </w:pPr>
    <w:rPr>
      <w:rFonts w:eastAsiaTheme="minorEastAsia"/>
      <w:iCs/>
      <w:szCs w:val="18"/>
      <w:lang w:val="en-NZ" w:eastAsia="ja-JP"/>
    </w:rPr>
  </w:style>
  <w:style w:type="paragraph" w:styleId="NoSpacing">
    <w:name w:val="No Spacing"/>
    <w:uiPriority w:val="1"/>
    <w:qFormat/>
    <w:rsid w:val="00AD3DF1"/>
    <w:pPr>
      <w:spacing w:after="0" w:line="240" w:lineRule="auto"/>
      <w:jc w:val="both"/>
    </w:pPr>
    <w:rPr>
      <w:rFonts w:ascii="Arial" w:eastAsiaTheme="minorEastAsia" w:hAnsi="Arial"/>
      <w:sz w:val="21"/>
      <w:lang w:val="en-NZ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AD3DF1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D3DF1"/>
    <w:pPr>
      <w:spacing w:after="0" w:line="360" w:lineRule="auto"/>
      <w:jc w:val="center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D3DF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D3DF1"/>
    <w:pPr>
      <w:jc w:val="both"/>
    </w:pPr>
    <w:rPr>
      <w:rFonts w:cs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AD3DF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D3D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E5E188290B45BAC2DEEF04D056B7" ma:contentTypeVersion="14" ma:contentTypeDescription="Create a new document." ma:contentTypeScope="" ma:versionID="606e853a7085f85dcee430d5218c0cfd">
  <xsd:schema xmlns:xsd="http://www.w3.org/2001/XMLSchema" xmlns:xs="http://www.w3.org/2001/XMLSchema" xmlns:p="http://schemas.microsoft.com/office/2006/metadata/properties" xmlns:ns3="7e009cb0-d577-4d24-bdbd-0ac232b76c09" xmlns:ns4="6fd59ee4-8728-47a1-be03-ee7c408fe37b" targetNamespace="http://schemas.microsoft.com/office/2006/metadata/properties" ma:root="true" ma:fieldsID="4389fb403d02270b3a1e095ec64cd390" ns3:_="" ns4:_="">
    <xsd:import namespace="7e009cb0-d577-4d24-bdbd-0ac232b76c09"/>
    <xsd:import namespace="6fd59ee4-8728-47a1-be03-ee7c408fe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9cb0-d577-4d24-bdbd-0ac232b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ee4-8728-47a1-be03-ee7c408f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8C29-51BF-4FC1-80BF-A3CD6707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9cb0-d577-4d24-bdbd-0ac232b76c09"/>
    <ds:schemaRef ds:uri="6fd59ee4-8728-47a1-be03-ee7c408fe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D2FC5-1EF9-43C6-AFF5-108219FF2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C600D-36FF-4857-B615-7843A80B3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2414-2667-4551-AAFE-C54D5172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2</cp:revision>
  <dcterms:created xsi:type="dcterms:W3CDTF">2022-03-25T12:25:00Z</dcterms:created>
  <dcterms:modified xsi:type="dcterms:W3CDTF">2022-03-25T12:25:00Z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0x010100A505E5E188290B45BAC2DEEF04D056B7</vt:lpwstr>
  </property>
</Properties>
</file>