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0A99" w14:textId="4A9265AC" w:rsidR="002A2814" w:rsidRDefault="00107F72" w:rsidP="002A2814">
      <w:pPr>
        <w:pStyle w:val="Heading1"/>
      </w:pPr>
      <w:r>
        <w:t>Additional File 5</w:t>
      </w:r>
    </w:p>
    <w:p w14:paraId="02494875" w14:textId="70A95C68" w:rsidR="002A2814" w:rsidRDefault="002A2814" w:rsidP="002A2814">
      <w:pPr>
        <w:pStyle w:val="Heading2"/>
      </w:pPr>
      <w:r>
        <w:t>Characteristics of three studies and their participants at baseline and follow-ups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5"/>
        <w:gridCol w:w="1418"/>
        <w:gridCol w:w="1842"/>
        <w:gridCol w:w="2268"/>
        <w:gridCol w:w="1985"/>
      </w:tblGrid>
      <w:tr w:rsidR="002A2814" w:rsidRPr="002A2814" w14:paraId="615BE90B" w14:textId="77777777" w:rsidTr="002A2814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9A8D3" w14:textId="77777777" w:rsidR="002A2814" w:rsidRPr="002A2814" w:rsidRDefault="002A2814" w:rsidP="002A281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0"/>
                <w:lang w:val="en-NZ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E9CD1" w14:textId="77777777" w:rsidR="002A2814" w:rsidRPr="002A2814" w:rsidRDefault="002A2814" w:rsidP="002A2814">
            <w:pPr>
              <w:spacing w:after="200" w:line="276" w:lineRule="auto"/>
              <w:rPr>
                <w:rFonts w:ascii="Calibri" w:eastAsia="MS Mincho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E2C28F" w14:textId="77777777" w:rsidR="002A2814" w:rsidRPr="002A2814" w:rsidRDefault="002A2814" w:rsidP="002A2814">
            <w:pPr>
              <w:spacing w:after="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b/>
                <w:color w:val="000000"/>
                <w:szCs w:val="21"/>
                <w:lang w:eastAsia="en-GB"/>
              </w:rPr>
              <w:t>ALSPAC</w:t>
            </w: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ED07A" w14:textId="77777777" w:rsidR="002A2814" w:rsidRPr="002A2814" w:rsidRDefault="002A2814" w:rsidP="002A2814">
            <w:pPr>
              <w:spacing w:after="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b/>
                <w:color w:val="000000"/>
                <w:szCs w:val="21"/>
                <w:lang w:eastAsia="en-GB"/>
              </w:rPr>
              <w:t>CLAN</w:t>
            </w: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 xml:space="preserve">*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09AB5" w14:textId="77777777" w:rsidR="002A2814" w:rsidRPr="002A2814" w:rsidRDefault="002A2814" w:rsidP="002A2814">
            <w:pPr>
              <w:spacing w:after="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b/>
                <w:color w:val="000000"/>
                <w:szCs w:val="21"/>
                <w:lang w:eastAsia="en-GB"/>
              </w:rPr>
              <w:t>SPEEDY</w:t>
            </w: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 xml:space="preserve"> </w:t>
            </w:r>
          </w:p>
        </w:tc>
      </w:tr>
      <w:tr w:rsidR="002A2814" w:rsidRPr="002A2814" w14:paraId="0A71E4B6" w14:textId="77777777" w:rsidTr="002A2814">
        <w:trPr>
          <w:trHeight w:val="80"/>
        </w:trPr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1E083C4A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Country (City)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14:paraId="3CFDAEEF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6B2CEEAC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England (Bristol)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35CD333F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Australia (Melbourne)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1C33CDFB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England (Norfolk)</w:t>
            </w:r>
          </w:p>
        </w:tc>
      </w:tr>
      <w:tr w:rsidR="002A2814" w:rsidRPr="002A2814" w14:paraId="25D90183" w14:textId="77777777" w:rsidTr="002A2814">
        <w:trPr>
          <w:trHeight w:val="80"/>
        </w:trPr>
        <w:tc>
          <w:tcPr>
            <w:tcW w:w="1735" w:type="dxa"/>
            <w:vMerge w:val="restart"/>
            <w:noWrap/>
            <w:hideMark/>
          </w:tcPr>
          <w:p w14:paraId="4E5FDB61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Year</w:t>
            </w:r>
          </w:p>
        </w:tc>
        <w:tc>
          <w:tcPr>
            <w:tcW w:w="1418" w:type="dxa"/>
            <w:noWrap/>
            <w:hideMark/>
          </w:tcPr>
          <w:p w14:paraId="4E6FFA18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Baseline</w:t>
            </w:r>
          </w:p>
        </w:tc>
        <w:tc>
          <w:tcPr>
            <w:tcW w:w="1842" w:type="dxa"/>
            <w:noWrap/>
            <w:hideMark/>
          </w:tcPr>
          <w:p w14:paraId="38DA4D1A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2003</w:t>
            </w:r>
          </w:p>
        </w:tc>
        <w:tc>
          <w:tcPr>
            <w:tcW w:w="2268" w:type="dxa"/>
            <w:noWrap/>
            <w:hideMark/>
          </w:tcPr>
          <w:p w14:paraId="29CCA4E1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2004</w:t>
            </w:r>
          </w:p>
        </w:tc>
        <w:tc>
          <w:tcPr>
            <w:tcW w:w="1985" w:type="dxa"/>
            <w:noWrap/>
            <w:hideMark/>
          </w:tcPr>
          <w:p w14:paraId="2ADE1BB0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szCs w:val="21"/>
                <w:lang w:eastAsia="en-GB"/>
              </w:rPr>
              <w:t>2007</w:t>
            </w:r>
          </w:p>
        </w:tc>
      </w:tr>
      <w:tr w:rsidR="002A2814" w:rsidRPr="002A2814" w14:paraId="23F60E89" w14:textId="77777777" w:rsidTr="002A2814">
        <w:trPr>
          <w:trHeight w:val="240"/>
        </w:trPr>
        <w:tc>
          <w:tcPr>
            <w:tcW w:w="1735" w:type="dxa"/>
            <w:vMerge/>
            <w:vAlign w:val="center"/>
            <w:hideMark/>
          </w:tcPr>
          <w:p w14:paraId="111BB883" w14:textId="77777777" w:rsidR="002A2814" w:rsidRPr="002A2814" w:rsidRDefault="002A2814" w:rsidP="002A2814">
            <w:pPr>
              <w:spacing w:after="0" w:line="276" w:lineRule="auto"/>
              <w:rPr>
                <w:rFonts w:eastAsia="Times New Roman" w:cs="Arial"/>
                <w:color w:val="000000"/>
                <w:szCs w:val="21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6F823CB9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Follow-up 1</w:t>
            </w:r>
          </w:p>
        </w:tc>
        <w:tc>
          <w:tcPr>
            <w:tcW w:w="1842" w:type="dxa"/>
            <w:noWrap/>
            <w:hideMark/>
          </w:tcPr>
          <w:p w14:paraId="72607BD1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2005</w:t>
            </w:r>
          </w:p>
        </w:tc>
        <w:tc>
          <w:tcPr>
            <w:tcW w:w="2268" w:type="dxa"/>
            <w:noWrap/>
            <w:hideMark/>
          </w:tcPr>
          <w:p w14:paraId="7A7AEF71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2006</w:t>
            </w:r>
          </w:p>
        </w:tc>
        <w:tc>
          <w:tcPr>
            <w:tcW w:w="1985" w:type="dxa"/>
            <w:noWrap/>
            <w:hideMark/>
          </w:tcPr>
          <w:p w14:paraId="5940BF41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szCs w:val="21"/>
                <w:lang w:eastAsia="en-GB"/>
              </w:rPr>
              <w:t>2008</w:t>
            </w:r>
          </w:p>
        </w:tc>
      </w:tr>
      <w:tr w:rsidR="002A2814" w:rsidRPr="002A2814" w14:paraId="7253E6F7" w14:textId="77777777" w:rsidTr="002A2814">
        <w:trPr>
          <w:trHeight w:val="80"/>
        </w:trPr>
        <w:tc>
          <w:tcPr>
            <w:tcW w:w="1735" w:type="dxa"/>
            <w:vMerge/>
            <w:vAlign w:val="center"/>
            <w:hideMark/>
          </w:tcPr>
          <w:p w14:paraId="31986328" w14:textId="77777777" w:rsidR="002A2814" w:rsidRPr="002A2814" w:rsidRDefault="002A2814" w:rsidP="002A2814">
            <w:pPr>
              <w:spacing w:after="0" w:line="276" w:lineRule="auto"/>
              <w:rPr>
                <w:rFonts w:eastAsia="Times New Roman" w:cs="Arial"/>
                <w:color w:val="000000"/>
                <w:szCs w:val="21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3E20B0A6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Follow-up 2</w:t>
            </w:r>
          </w:p>
        </w:tc>
        <w:tc>
          <w:tcPr>
            <w:tcW w:w="1842" w:type="dxa"/>
            <w:noWrap/>
            <w:hideMark/>
          </w:tcPr>
          <w:p w14:paraId="0725B636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2007</w:t>
            </w:r>
          </w:p>
        </w:tc>
        <w:tc>
          <w:tcPr>
            <w:tcW w:w="2268" w:type="dxa"/>
            <w:noWrap/>
            <w:hideMark/>
          </w:tcPr>
          <w:p w14:paraId="4CCBEA4B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45E80D52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szCs w:val="21"/>
                <w:lang w:eastAsia="en-GB"/>
              </w:rPr>
              <w:t>2011</w:t>
            </w:r>
          </w:p>
        </w:tc>
      </w:tr>
      <w:tr w:rsidR="002A2814" w:rsidRPr="002A2814" w14:paraId="3E1AF949" w14:textId="77777777" w:rsidTr="002A2814">
        <w:trPr>
          <w:trHeight w:val="80"/>
        </w:trPr>
        <w:tc>
          <w:tcPr>
            <w:tcW w:w="1735" w:type="dxa"/>
            <w:vMerge w:val="restart"/>
            <w:shd w:val="clear" w:color="auto" w:fill="F2F2F2"/>
            <w:hideMark/>
          </w:tcPr>
          <w:p w14:paraId="17D08C51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Sample size</w:t>
            </w:r>
            <w:r w:rsidRPr="002A2814">
              <w:rPr>
                <w:rFonts w:eastAsia="Times New Roman" w:cs="Arial"/>
                <w:color w:val="000000"/>
                <w:szCs w:val="21"/>
                <w:vertAlign w:val="superscript"/>
                <w:lang w:eastAsia="en-GB"/>
              </w:rPr>
              <w:t>‡</w:t>
            </w:r>
          </w:p>
        </w:tc>
        <w:tc>
          <w:tcPr>
            <w:tcW w:w="1418" w:type="dxa"/>
            <w:shd w:val="clear" w:color="auto" w:fill="F2F2F2"/>
            <w:noWrap/>
            <w:hideMark/>
          </w:tcPr>
          <w:p w14:paraId="36A3B932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Baseline</w:t>
            </w:r>
          </w:p>
        </w:tc>
        <w:tc>
          <w:tcPr>
            <w:tcW w:w="1842" w:type="dxa"/>
            <w:shd w:val="clear" w:color="auto" w:fill="F2F2F2"/>
            <w:noWrap/>
            <w:hideMark/>
          </w:tcPr>
          <w:p w14:paraId="42048EBA" w14:textId="77777777" w:rsidR="002A2814" w:rsidRPr="002A2814" w:rsidRDefault="002A2814" w:rsidP="002A2814">
            <w:pPr>
              <w:spacing w:before="20" w:after="20"/>
              <w:rPr>
                <w:rFonts w:eastAsia="MS Mincho" w:cs="Times New Roman"/>
                <w:lang w:val="en-NZ" w:eastAsia="ja-JP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2109 (54.5%)</w:t>
            </w:r>
          </w:p>
        </w:tc>
        <w:tc>
          <w:tcPr>
            <w:tcW w:w="2268" w:type="dxa"/>
            <w:shd w:val="clear" w:color="auto" w:fill="F2F2F2"/>
            <w:noWrap/>
            <w:hideMark/>
          </w:tcPr>
          <w:p w14:paraId="43E44E10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405 (10.5%)</w:t>
            </w:r>
          </w:p>
        </w:tc>
        <w:tc>
          <w:tcPr>
            <w:tcW w:w="1985" w:type="dxa"/>
            <w:shd w:val="clear" w:color="auto" w:fill="F2F2F2"/>
            <w:noWrap/>
            <w:hideMark/>
          </w:tcPr>
          <w:p w14:paraId="28938325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1357 (35.1%)</w:t>
            </w:r>
          </w:p>
        </w:tc>
      </w:tr>
      <w:tr w:rsidR="002A2814" w:rsidRPr="002A2814" w14:paraId="5F9D04F8" w14:textId="77777777" w:rsidTr="002A2814">
        <w:trPr>
          <w:trHeight w:val="80"/>
        </w:trPr>
        <w:tc>
          <w:tcPr>
            <w:tcW w:w="1735" w:type="dxa"/>
            <w:vMerge/>
            <w:vAlign w:val="center"/>
            <w:hideMark/>
          </w:tcPr>
          <w:p w14:paraId="2BDA2D01" w14:textId="77777777" w:rsidR="002A2814" w:rsidRPr="002A2814" w:rsidRDefault="002A2814" w:rsidP="002A2814">
            <w:pPr>
              <w:spacing w:after="0" w:line="276" w:lineRule="auto"/>
              <w:rPr>
                <w:rFonts w:eastAsia="Times New Roman" w:cs="Arial"/>
                <w:color w:val="000000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F2F2F2"/>
            <w:noWrap/>
            <w:hideMark/>
          </w:tcPr>
          <w:p w14:paraId="6BFD3DC7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Follow-up 1</w:t>
            </w:r>
          </w:p>
        </w:tc>
        <w:tc>
          <w:tcPr>
            <w:tcW w:w="1842" w:type="dxa"/>
            <w:shd w:val="clear" w:color="auto" w:fill="F2F2F2"/>
            <w:noWrap/>
            <w:hideMark/>
          </w:tcPr>
          <w:p w14:paraId="6D37E0E5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1248 (60.1%)</w:t>
            </w:r>
          </w:p>
        </w:tc>
        <w:tc>
          <w:tcPr>
            <w:tcW w:w="2268" w:type="dxa"/>
            <w:shd w:val="clear" w:color="auto" w:fill="F2F2F2"/>
            <w:noWrap/>
            <w:hideMark/>
          </w:tcPr>
          <w:p w14:paraId="13BB96B9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291 (14.0%)</w:t>
            </w:r>
          </w:p>
        </w:tc>
        <w:tc>
          <w:tcPr>
            <w:tcW w:w="1985" w:type="dxa"/>
            <w:shd w:val="clear" w:color="auto" w:fill="F2F2F2"/>
            <w:noWrap/>
            <w:hideMark/>
          </w:tcPr>
          <w:p w14:paraId="1E91EF7B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539 (25.9%)</w:t>
            </w:r>
          </w:p>
        </w:tc>
      </w:tr>
      <w:tr w:rsidR="002A2814" w:rsidRPr="002A2814" w14:paraId="05BFA9D8" w14:textId="77777777" w:rsidTr="002A2814">
        <w:trPr>
          <w:trHeight w:val="80"/>
        </w:trPr>
        <w:tc>
          <w:tcPr>
            <w:tcW w:w="1735" w:type="dxa"/>
            <w:vMerge/>
            <w:vAlign w:val="center"/>
            <w:hideMark/>
          </w:tcPr>
          <w:p w14:paraId="25D47C48" w14:textId="77777777" w:rsidR="002A2814" w:rsidRPr="002A2814" w:rsidRDefault="002A2814" w:rsidP="002A2814">
            <w:pPr>
              <w:spacing w:after="0" w:line="276" w:lineRule="auto"/>
              <w:rPr>
                <w:rFonts w:eastAsia="Times New Roman" w:cs="Arial"/>
                <w:color w:val="000000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F2F2F2"/>
            <w:noWrap/>
            <w:hideMark/>
          </w:tcPr>
          <w:p w14:paraId="63B095FE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Follow-up 2</w:t>
            </w:r>
          </w:p>
        </w:tc>
        <w:tc>
          <w:tcPr>
            <w:tcW w:w="1842" w:type="dxa"/>
            <w:shd w:val="clear" w:color="auto" w:fill="F2F2F2"/>
            <w:noWrap/>
            <w:hideMark/>
          </w:tcPr>
          <w:p w14:paraId="08772830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762 (74.4%)</w:t>
            </w:r>
          </w:p>
        </w:tc>
        <w:tc>
          <w:tcPr>
            <w:tcW w:w="2268" w:type="dxa"/>
            <w:shd w:val="clear" w:color="auto" w:fill="F2F2F2"/>
            <w:noWrap/>
            <w:hideMark/>
          </w:tcPr>
          <w:p w14:paraId="5E4D7707" w14:textId="77777777" w:rsidR="002A2814" w:rsidRPr="002A2814" w:rsidRDefault="002A2814" w:rsidP="002A2814">
            <w:pPr>
              <w:spacing w:before="20" w:after="20"/>
              <w:rPr>
                <w:rFonts w:eastAsia="MS Mincho" w:cs="Times New Roman"/>
                <w:lang w:val="en-NZ" w:eastAsia="ja-JP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0 (0.0%)</w:t>
            </w:r>
          </w:p>
        </w:tc>
        <w:tc>
          <w:tcPr>
            <w:tcW w:w="1985" w:type="dxa"/>
            <w:shd w:val="clear" w:color="auto" w:fill="F2F2F2"/>
            <w:noWrap/>
            <w:hideMark/>
          </w:tcPr>
          <w:p w14:paraId="5CDC2D38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262 (25.6%)</w:t>
            </w:r>
          </w:p>
        </w:tc>
      </w:tr>
      <w:tr w:rsidR="002A2814" w:rsidRPr="002A2814" w14:paraId="1CF8E24C" w14:textId="77777777" w:rsidTr="002A2814">
        <w:trPr>
          <w:trHeight w:val="80"/>
        </w:trPr>
        <w:tc>
          <w:tcPr>
            <w:tcW w:w="17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E3778C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Age (year)</w:t>
            </w:r>
            <w:r w:rsidRPr="002A2814">
              <w:rPr>
                <w:rFonts w:eastAsia="Times New Roman" w:cs="Arial"/>
                <w:color w:val="000000"/>
                <w:szCs w:val="21"/>
                <w:vertAlign w:val="superscript"/>
                <w:lang w:eastAsia="en-GB"/>
              </w:rPr>
              <w:t>‡</w:t>
            </w:r>
          </w:p>
        </w:tc>
        <w:tc>
          <w:tcPr>
            <w:tcW w:w="1418" w:type="dxa"/>
            <w:noWrap/>
            <w:hideMark/>
          </w:tcPr>
          <w:p w14:paraId="456DF28D" w14:textId="77777777" w:rsidR="002A2814" w:rsidRPr="002A2814" w:rsidRDefault="002A2814" w:rsidP="002A2814">
            <w:pPr>
              <w:spacing w:before="20" w:after="20"/>
              <w:rPr>
                <w:rFonts w:eastAsia="MS Mincho" w:cs="Arial"/>
                <w:color w:val="000000"/>
                <w:szCs w:val="21"/>
                <w:lang w:val="en-NZ" w:eastAsia="ja-JP"/>
              </w:rPr>
            </w:pPr>
            <w:r w:rsidRPr="002A2814">
              <w:rPr>
                <w:rFonts w:eastAsia="MS Mincho" w:cs="Arial"/>
                <w:color w:val="000000"/>
                <w:szCs w:val="21"/>
                <w:lang w:val="en-NZ" w:eastAsia="ja-JP"/>
              </w:rPr>
              <w:t>Baseline</w:t>
            </w:r>
          </w:p>
        </w:tc>
        <w:tc>
          <w:tcPr>
            <w:tcW w:w="1842" w:type="dxa"/>
            <w:hideMark/>
          </w:tcPr>
          <w:p w14:paraId="25FEEA02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11.8 ± 0.2</w:t>
            </w:r>
          </w:p>
        </w:tc>
        <w:tc>
          <w:tcPr>
            <w:tcW w:w="2268" w:type="dxa"/>
            <w:hideMark/>
          </w:tcPr>
          <w:p w14:paraId="3F641FF3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12.4 ± 2.7</w:t>
            </w:r>
          </w:p>
        </w:tc>
        <w:tc>
          <w:tcPr>
            <w:tcW w:w="1985" w:type="dxa"/>
            <w:hideMark/>
          </w:tcPr>
          <w:p w14:paraId="7F2A8337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10.3 ± 0.3</w:t>
            </w:r>
          </w:p>
        </w:tc>
      </w:tr>
      <w:tr w:rsidR="002A2814" w:rsidRPr="002A2814" w14:paraId="16BCEAAE" w14:textId="77777777" w:rsidTr="002A2814">
        <w:trPr>
          <w:trHeight w:val="193"/>
        </w:trPr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0E4744" w14:textId="77777777" w:rsidR="002A2814" w:rsidRPr="002A2814" w:rsidRDefault="002A2814" w:rsidP="002A2814">
            <w:pPr>
              <w:spacing w:after="0" w:line="276" w:lineRule="auto"/>
              <w:rPr>
                <w:rFonts w:eastAsia="Times New Roman" w:cs="Arial"/>
                <w:color w:val="000000"/>
                <w:szCs w:val="21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5D0C463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Follow-up 1</w:t>
            </w:r>
          </w:p>
        </w:tc>
        <w:tc>
          <w:tcPr>
            <w:tcW w:w="1842" w:type="dxa"/>
            <w:hideMark/>
          </w:tcPr>
          <w:p w14:paraId="550AC4C8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13.9 ± 0.2</w:t>
            </w:r>
          </w:p>
        </w:tc>
        <w:tc>
          <w:tcPr>
            <w:tcW w:w="2268" w:type="dxa"/>
            <w:hideMark/>
          </w:tcPr>
          <w:p w14:paraId="192C1D0D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14.0 ± 2.7</w:t>
            </w:r>
          </w:p>
        </w:tc>
        <w:tc>
          <w:tcPr>
            <w:tcW w:w="1985" w:type="dxa"/>
            <w:hideMark/>
          </w:tcPr>
          <w:p w14:paraId="4C6340E2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11.2 ± 0.3</w:t>
            </w:r>
          </w:p>
        </w:tc>
      </w:tr>
      <w:tr w:rsidR="002A2814" w:rsidRPr="002A2814" w14:paraId="30973371" w14:textId="77777777" w:rsidTr="002A2814">
        <w:trPr>
          <w:trHeight w:val="229"/>
        </w:trPr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3E11C" w14:textId="77777777" w:rsidR="002A2814" w:rsidRPr="002A2814" w:rsidRDefault="002A2814" w:rsidP="002A2814">
            <w:pPr>
              <w:spacing w:after="0" w:line="276" w:lineRule="auto"/>
              <w:rPr>
                <w:rFonts w:eastAsia="Times New Roman" w:cs="Arial"/>
                <w:color w:val="000000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5FEF73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color w:val="000000"/>
                <w:szCs w:val="21"/>
                <w:lang w:eastAsia="en-GB"/>
              </w:rPr>
            </w:pPr>
            <w:r w:rsidRPr="002A2814">
              <w:rPr>
                <w:rFonts w:eastAsia="Times New Roman" w:cs="Arial"/>
                <w:color w:val="000000"/>
                <w:szCs w:val="21"/>
                <w:lang w:eastAsia="en-GB"/>
              </w:rPr>
              <w:t>Follow-up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71E76B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15.5 ± 0.2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C7C924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C38AD" w14:textId="77777777" w:rsidR="002A2814" w:rsidRPr="002A2814" w:rsidRDefault="002A2814" w:rsidP="002A2814">
            <w:pPr>
              <w:spacing w:before="20" w:after="20"/>
              <w:rPr>
                <w:rFonts w:eastAsia="Times New Roman" w:cs="Arial"/>
                <w:szCs w:val="21"/>
                <w:lang w:eastAsia="en-GB"/>
              </w:rPr>
            </w:pPr>
            <w:r w:rsidRPr="002A2814">
              <w:rPr>
                <w:rFonts w:eastAsia="MS Mincho" w:cs="Times New Roman"/>
                <w:lang w:val="en-NZ" w:eastAsia="ja-JP"/>
              </w:rPr>
              <w:t>14.3 ± 0.3</w:t>
            </w:r>
          </w:p>
        </w:tc>
      </w:tr>
    </w:tbl>
    <w:p w14:paraId="34D9F375" w14:textId="77777777" w:rsidR="002A2814" w:rsidRDefault="002A2814" w:rsidP="002A2814">
      <w:pPr>
        <w:pStyle w:val="NoSpacing"/>
      </w:pPr>
      <w:r>
        <w:t>*The first wave was in 2001 (age: 10.19 ± 2.37).</w:t>
      </w:r>
    </w:p>
    <w:p w14:paraId="285DA30D" w14:textId="6922548A" w:rsidR="002A2814" w:rsidRDefault="002A2814" w:rsidP="002A2814">
      <w:pPr>
        <w:pStyle w:val="NoSpacing"/>
      </w:pPr>
      <w:r>
        <w:rPr>
          <w:vertAlign w:val="superscript"/>
        </w:rPr>
        <w:t>‡</w:t>
      </w:r>
      <w:r>
        <w:t>Sample size (Baseline: N = 3871, Follow-up 1: N = 2078, Follow-up 2: N = 1024) and age were based on observations included in models.</w:t>
      </w:r>
    </w:p>
    <w:p w14:paraId="0EE4761D" w14:textId="6BC3F8FB" w:rsidR="002A2814" w:rsidRDefault="002A2814" w:rsidP="002A2814">
      <w:r>
        <w:t xml:space="preserve">ALSPAC = Avon Longitudinal Study of Parents and Children </w:t>
      </w:r>
      <w:r w:rsidR="00712AFC">
        <w:fldChar w:fldCharType="begin">
          <w:fldData xml:space="preserve">PEVuZE5vdGU+PENpdGU+PEF1dGhvcj5Cb3lkPC9BdXRob3I+PFllYXI+MjAxMzwvWWVhcj48UmVj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</w:fldData>
        </w:fldChar>
      </w:r>
      <w:r w:rsidR="00033753">
        <w:instrText xml:space="preserve"> ADDIN EN.CITE </w:instrText>
      </w:r>
      <w:r w:rsidR="00033753">
        <w:fldChar w:fldCharType="begin">
          <w:fldData xml:space="preserve">PEVuZE5vdGU+PENpdGU+PEF1dGhvcj5Cb3lkPC9BdXRob3I+PFllYXI+MjAxMzwvWWVhcj48UmVj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</w:fldData>
        </w:fldChar>
      </w:r>
      <w:r w:rsidR="00033753">
        <w:instrText xml:space="preserve"> ADDIN EN.CITE.DATA </w:instrText>
      </w:r>
      <w:r w:rsidR="00033753">
        <w:fldChar w:fldCharType="end"/>
      </w:r>
      <w:r w:rsidR="00712AFC">
        <w:fldChar w:fldCharType="separate"/>
      </w:r>
      <w:r w:rsidR="00033753">
        <w:rPr>
          <w:noProof/>
        </w:rPr>
        <w:t>[4, 5]</w:t>
      </w:r>
      <w:r w:rsidR="00712AFC">
        <w:fldChar w:fldCharType="end"/>
      </w:r>
      <w:r>
        <w:t>; CLAN = Children Living in Active Neighbourhoods (originally named as the Children's Leisure Activities Study [CLASS])</w:t>
      </w:r>
      <w:r>
        <w:rPr>
          <w:rFonts w:eastAsia="Times New Roman" w:cs="Arial"/>
          <w:color w:val="000000"/>
          <w:szCs w:val="21"/>
          <w:lang w:eastAsia="en-GB"/>
        </w:rPr>
        <w:t xml:space="preserve"> </w:t>
      </w:r>
      <w:r>
        <w:rPr>
          <w:rFonts w:eastAsia="Times New Roman" w:cs="Arial"/>
          <w:color w:val="000000"/>
          <w:szCs w:val="21"/>
          <w:lang w:eastAsia="en-GB"/>
        </w:rPr>
        <w:fldChar w:fldCharType="begin"/>
      </w:r>
      <w:r w:rsidR="00033753">
        <w:rPr>
          <w:rFonts w:eastAsia="Times New Roman" w:cs="Arial"/>
          <w:color w:val="000000"/>
          <w:szCs w:val="21"/>
          <w:lang w:eastAsia="en-GB"/>
        </w:rPr>
        <w:instrText xml:space="preserve"> ADDIN EN.CITE &lt;EndNote&gt;&lt;Cite&gt;&lt;Author&gt;Telford&lt;/Author&gt;&lt;Year&gt;2005&lt;/Year&gt;&lt;RecNum&gt;1739&lt;/RecNum&gt;&lt;DisplayText&gt;[6]&lt;/DisplayText&gt;&lt;record&gt;&lt;rec-number&gt;1739&lt;/rec-number&gt;&lt;foreign-keys&gt;&lt;key app="EN" db-id="a00at2zejxazspevt0ipxd0qxxtsrspzzvaz" timestamp="1621520051"&gt;1739&lt;/key&gt;&lt;/foreign-keys&gt;&lt;ref-type name="Journal Article"&gt;17&lt;/ref-type&gt;&lt;contributors&gt;&lt;authors&gt;&lt;author&gt;Telford, Amanda&lt;/author&gt;&lt;author&gt;Salmon, Jo&lt;/author&gt;&lt;author&gt;Timperio, Anna&lt;/author&gt;&lt;author&gt;Crawford, David&lt;/author&gt;&lt;/authors&gt;&lt;/contributors&gt;&lt;titles&gt;&lt;title&gt;Quantifying and characterizing physical activity among 5- to 6- and 10- to 12-year-old children: The Children’s Leisure Activities Study (CLASS)&lt;/title&gt;&lt;secondary-title&gt;Pediatric Exercise Science&lt;/secondary-title&gt;&lt;/titles&gt;&lt;periodical&gt;&lt;full-title&gt;Pediatric Exercise Science&lt;/full-title&gt;&lt;abbr-1&gt;Pediatr. Exerc. Sci.&lt;/abbr-1&gt;&lt;abbr-2&gt;Pediatr Exerc Sci&lt;/abbr-2&gt;&lt;/periodical&gt;&lt;pages&gt;266-280&lt;/pages&gt;&lt;volume&gt;17&lt;/volume&gt;&lt;number&gt;3&lt;/number&gt;&lt;dates&gt;&lt;year&gt;2005&lt;/year&gt;&lt;/dates&gt;&lt;isbn&gt;0899-8493&lt;/isbn&gt;&lt;urls&gt;&lt;related-urls&gt;&lt;url&gt;http://journals.humankinetics.com/view/journals/pes/17/3/article-p266.xml&lt;/url&gt;&lt;/related-urls&gt;&lt;/urls&gt;&lt;electronic-resource-num&gt;10.1123/pes.17.3.266&lt;/electronic-resource-num&gt;&lt;language&gt;English&lt;/language&gt;&lt;/record&gt;&lt;/Cite&gt;&lt;/EndNote&gt;</w:instrText>
      </w:r>
      <w:r>
        <w:rPr>
          <w:rFonts w:eastAsia="Times New Roman" w:cs="Arial"/>
          <w:color w:val="000000"/>
          <w:szCs w:val="21"/>
          <w:lang w:eastAsia="en-GB"/>
        </w:rPr>
        <w:fldChar w:fldCharType="separate"/>
      </w:r>
      <w:r w:rsidR="00033753">
        <w:rPr>
          <w:rFonts w:eastAsia="Times New Roman" w:cs="Arial"/>
          <w:noProof/>
          <w:color w:val="000000"/>
          <w:szCs w:val="21"/>
          <w:lang w:eastAsia="en-GB"/>
        </w:rPr>
        <w:t>[6]</w:t>
      </w:r>
      <w:r>
        <w:rPr>
          <w:rFonts w:eastAsia="Times New Roman" w:cs="Arial"/>
          <w:color w:val="000000"/>
          <w:szCs w:val="21"/>
          <w:lang w:eastAsia="en-GB"/>
        </w:rPr>
        <w:fldChar w:fldCharType="end"/>
      </w:r>
      <w:r>
        <w:t xml:space="preserve">; N = number; SPEEDY = Sport, Physical activity and Eating behaviour: Environmental Determinants in Young people </w:t>
      </w:r>
      <w:r w:rsidRPr="002A2814">
        <w:rPr>
          <w:rFonts w:eastAsia="Times New Roman" w:cs="Arial"/>
          <w:color w:val="000000"/>
          <w:szCs w:val="21"/>
          <w:lang w:eastAsia="en-GB"/>
        </w:rPr>
        <w:fldChar w:fldCharType="begin"/>
      </w:r>
      <w:r w:rsidR="00033753">
        <w:rPr>
          <w:rFonts w:eastAsia="Times New Roman" w:cs="Arial"/>
          <w:color w:val="000000"/>
          <w:szCs w:val="21"/>
          <w:lang w:eastAsia="en-GB"/>
        </w:rPr>
        <w:instrText xml:space="preserve"> ADDIN EN.CITE &lt;EndNote&gt;&lt;Cite&gt;&lt;Author&gt;van Sluijs&lt;/Author&gt;&lt;Year&gt;2008&lt;/Year&gt;&lt;RecNum&gt;1654&lt;/RecNum&gt;&lt;DisplayText&gt;[7]&lt;/DisplayText&gt;&lt;record&gt;&lt;rec-number&gt;1654&lt;/rec-number&gt;&lt;foreign-keys&gt;&lt;key app="EN" db-id="a00at2zejxazspevt0ipxd0qxxtsrspzzvaz" timestamp="1585562488"&gt;1654&lt;/key&gt;&lt;/foreign-keys&gt;&lt;ref-type name="Journal Article"&gt;17&lt;/ref-type&gt;&lt;contributors&gt;&lt;authors&gt;&lt;author&gt;van Sluijs, Esther M. F.&lt;/author&gt;&lt;author&gt;Skidmore, Paula M. L.&lt;/author&gt;&lt;author&gt;Mwanza, Kim&lt;/author&gt;&lt;author&gt;Jones, Andrew P.&lt;/author&gt;&lt;author&gt;Callaghan, Alison M.&lt;/author&gt;&lt;author&gt;Ekelund, Ulf&lt;/author&gt;&lt;author&gt;Harrison, Flo&lt;/author&gt;&lt;author&gt;Harvey, Ian&lt;/author&gt;&lt;author&gt;Panter, Jenna&lt;/author&gt;&lt;author&gt;Wareham, Nicolas J.&lt;/author&gt;&lt;author&gt;Cassidy, Aedin&lt;/author&gt;&lt;author&gt;Griffin, Simon J.&lt;/author&gt;&lt;/authors&gt;&lt;/contributors&gt;&lt;titles&gt;&lt;title&gt;Physical activity and dietary behaviour in a population-based sample of British 10-year old children: the SPEEDY study (Sport, Physical activity and Eating behaviour: Environmental Determinants in Young people)&lt;/title&gt;&lt;secondary-title&gt;BMC Public Health&lt;/secondary-title&gt;&lt;/titles&gt;&lt;periodical&gt;&lt;full-title&gt;BMC Public Health&lt;/full-title&gt;&lt;abbr-1&gt;BMC Public Health&lt;/abbr-1&gt;&lt;abbr-2&gt;BMC Public Health&lt;/abbr-2&gt;&lt;/periodical&gt;&lt;pages&gt;1-12&lt;/pages&gt;&lt;volume&gt;8&lt;/volume&gt;&lt;number&gt;388&lt;/number&gt;&lt;dates&gt;&lt;year&gt;2008&lt;/year&gt;&lt;pub-dates&gt;&lt;date&gt;November 14&lt;/date&gt;&lt;/pub-dates&gt;&lt;/dates&gt;&lt;isbn&gt;1471-2458&lt;/isbn&gt;&lt;urls&gt;&lt;related-urls&gt;&lt;url&gt;https://doi.org/10.1186/1471-2458-8-388&lt;/url&gt;&lt;/related-urls&gt;&lt;/urls&gt;&lt;electronic-resource-num&gt;10.1186/1471-2458-8-388&lt;/electronic-resource-num&gt;&lt;/record&gt;&lt;/Cite&gt;&lt;/EndNote&gt;</w:instrText>
      </w:r>
      <w:r w:rsidRPr="002A2814">
        <w:rPr>
          <w:rFonts w:eastAsia="Times New Roman" w:cs="Arial"/>
          <w:color w:val="000000"/>
          <w:szCs w:val="21"/>
          <w:lang w:eastAsia="en-GB"/>
        </w:rPr>
        <w:fldChar w:fldCharType="separate"/>
      </w:r>
      <w:r w:rsidR="00033753">
        <w:rPr>
          <w:rFonts w:eastAsia="Times New Roman" w:cs="Arial"/>
          <w:noProof/>
          <w:color w:val="000000"/>
          <w:szCs w:val="21"/>
          <w:lang w:eastAsia="en-GB"/>
        </w:rPr>
        <w:t>[7]</w:t>
      </w:r>
      <w:r w:rsidRPr="002A2814">
        <w:rPr>
          <w:rFonts w:eastAsia="Times New Roman" w:cs="Arial"/>
          <w:color w:val="000000"/>
          <w:szCs w:val="21"/>
          <w:lang w:eastAsia="en-GB"/>
        </w:rPr>
        <w:fldChar w:fldCharType="end"/>
      </w:r>
      <w:r w:rsidRPr="002A2814">
        <w:t>.</w:t>
      </w:r>
    </w:p>
    <w:p w14:paraId="4FA7BB41" w14:textId="77777777" w:rsidR="002A2814" w:rsidRDefault="002A2814" w:rsidP="00320FF8"/>
    <w:p w14:paraId="5B7983E9" w14:textId="77777777" w:rsidR="00351CD0" w:rsidRDefault="00351CD0" w:rsidP="00351CD0">
      <w:pPr>
        <w:pStyle w:val="Heading1"/>
      </w:pPr>
      <w:r>
        <w:t>References</w:t>
      </w:r>
    </w:p>
    <w:p w14:paraId="21AF2F81" w14:textId="77777777" w:rsidR="00351CD0" w:rsidRDefault="00351CD0" w:rsidP="00351CD0">
      <w:pPr>
        <w:pStyle w:val="EndNoteBibliography"/>
        <w:spacing w:after="0"/>
        <w:ind w:left="720" w:hanging="720"/>
        <w:jc w:val="left"/>
      </w:pPr>
      <w:r>
        <w:t>4.</w:t>
      </w:r>
      <w:r>
        <w:tab/>
        <w:t>Boyd A, Golding J, Macleod J, Lawlor DA, Fraser A, Henderson J, Molloy L, Ness A, Ring S, Davey Smith G. Cohort profile: The ‘Children of the 90s’—the index offspring of the Avon Longitudinal Study of Parents and Children.</w:t>
      </w:r>
      <w:r>
        <w:rPr>
          <w:i/>
        </w:rPr>
        <w:t xml:space="preserve"> </w:t>
      </w:r>
      <w:r>
        <w:t>Int J Epidemiol. 2013; doi:10.1093/ije/dys064.</w:t>
      </w:r>
    </w:p>
    <w:p w14:paraId="58BE3A6F" w14:textId="77777777" w:rsidR="00351CD0" w:rsidRDefault="00351CD0" w:rsidP="00351CD0">
      <w:pPr>
        <w:pStyle w:val="EndNoteBibliography"/>
        <w:spacing w:after="0"/>
        <w:ind w:left="720" w:hanging="720"/>
        <w:jc w:val="left"/>
      </w:pPr>
      <w:r>
        <w:t>5.</w:t>
      </w:r>
      <w:r>
        <w:tab/>
        <w:t>Fraser A, Macdonald-Wallis C, Tilling K, Boyd A, Golding J, Davey Smith G, Henderson J, Macleod J, Molloy L, Ness A</w:t>
      </w:r>
      <w:r>
        <w:rPr>
          <w:i/>
        </w:rPr>
        <w:t xml:space="preserve"> et al</w:t>
      </w:r>
      <w:r>
        <w:t>. Cohort Profile: The Avon Longitudinal Study of Parents and Children: ALSPAC mothers cohort.</w:t>
      </w:r>
      <w:r>
        <w:rPr>
          <w:i/>
        </w:rPr>
        <w:t xml:space="preserve"> </w:t>
      </w:r>
      <w:r>
        <w:t>Int J Epidemiol. 2012; doi:10.1093/ije/dys066.</w:t>
      </w:r>
    </w:p>
    <w:p w14:paraId="14D4949C" w14:textId="77777777" w:rsidR="00351CD0" w:rsidRDefault="00351CD0" w:rsidP="00351CD0">
      <w:pPr>
        <w:pStyle w:val="EndNoteBibliography"/>
        <w:spacing w:after="0"/>
        <w:ind w:left="720" w:hanging="720"/>
        <w:jc w:val="left"/>
      </w:pPr>
      <w:r>
        <w:t>6.</w:t>
      </w:r>
      <w:r>
        <w:tab/>
        <w:t>Telford A, Salmon J, Timperio A, Crawford D. Quantifying and characterizing physical activity among 5- to 6- and 10- to 12-year-old children: The Children’s Leisure Activities Study (CLASS).</w:t>
      </w:r>
      <w:r>
        <w:rPr>
          <w:i/>
        </w:rPr>
        <w:t xml:space="preserve"> </w:t>
      </w:r>
      <w:r>
        <w:t>Pediatr Exerc Sci. 2005; doi:10.1123/pes.17.3.266.</w:t>
      </w:r>
    </w:p>
    <w:p w14:paraId="3A55E7CF" w14:textId="77777777" w:rsidR="00351CD0" w:rsidRDefault="00351CD0" w:rsidP="00351CD0">
      <w:pPr>
        <w:pStyle w:val="EndNoteBibliography"/>
        <w:ind w:left="720" w:hanging="720"/>
        <w:jc w:val="left"/>
      </w:pPr>
      <w:r>
        <w:t>7.</w:t>
      </w:r>
      <w:r>
        <w:tab/>
        <w:t>van Sluijs EMF, Skidmore PML, Mwanza K, Jones AP, Callaghan AM, Ekelund U, Harrison F, Harvey I, Panter J, Wareham NJ</w:t>
      </w:r>
      <w:r>
        <w:rPr>
          <w:i/>
        </w:rPr>
        <w:t xml:space="preserve"> et al</w:t>
      </w:r>
      <w:r>
        <w:t>. Physical activity and dietary behaviour in a population-based sample of British 10-year old children: the SPEEDY study (Sport, Physical activity and Eating behaviour: Environmental Determinants in Young people).</w:t>
      </w:r>
      <w:r>
        <w:rPr>
          <w:i/>
        </w:rPr>
        <w:t xml:space="preserve"> </w:t>
      </w:r>
      <w:r>
        <w:t>BMC Public Health. 2008; doi:10.1186/1471-2458-8-388.</w:t>
      </w:r>
    </w:p>
    <w:p w14:paraId="76287FC0" w14:textId="14E197A2" w:rsidR="00351CD0" w:rsidRDefault="00351CD0" w:rsidP="00320FF8"/>
    <w:p w14:paraId="334DEC85" w14:textId="1E86015B" w:rsidR="00F65120" w:rsidRPr="0038428D" w:rsidRDefault="00F65120" w:rsidP="00033753">
      <w:bookmarkStart w:id="0" w:name="_GoBack"/>
      <w:bookmarkEnd w:id="0"/>
    </w:p>
    <w:sectPr w:rsidR="00F65120" w:rsidRPr="0038428D" w:rsidSect="00E416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BA1"/>
    <w:multiLevelType w:val="hybridMultilevel"/>
    <w:tmpl w:val="E870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49CB"/>
    <w:multiLevelType w:val="hybridMultilevel"/>
    <w:tmpl w:val="7644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83E33"/>
    <w:multiLevelType w:val="hybridMultilevel"/>
    <w:tmpl w:val="BBE8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JBNP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0at2zejxazspevt0ipxd0qxxtsrspzzvaz&quot;&gt;Erika EndNote&lt;record-ids&gt;&lt;item&gt;1654&lt;/item&gt;&lt;item&gt;1737&lt;/item&gt;&lt;item&gt;1739&lt;/item&gt;&lt;item&gt;1743&lt;/item&gt;&lt;item&gt;1744&lt;/item&gt;&lt;item&gt;1745&lt;/item&gt;&lt;item&gt;1778&lt;/item&gt;&lt;/record-ids&gt;&lt;/item&gt;&lt;/Libraries&gt;"/>
  </w:docVars>
  <w:rsids>
    <w:rsidRoot w:val="00D241D5"/>
    <w:rsid w:val="00014D94"/>
    <w:rsid w:val="00020D73"/>
    <w:rsid w:val="00025F57"/>
    <w:rsid w:val="00033753"/>
    <w:rsid w:val="000465AF"/>
    <w:rsid w:val="00064C35"/>
    <w:rsid w:val="00065A7B"/>
    <w:rsid w:val="00076DA7"/>
    <w:rsid w:val="000C778D"/>
    <w:rsid w:val="001037C8"/>
    <w:rsid w:val="00105892"/>
    <w:rsid w:val="00107F72"/>
    <w:rsid w:val="0015533D"/>
    <w:rsid w:val="00173676"/>
    <w:rsid w:val="001A3C1F"/>
    <w:rsid w:val="001C6DC2"/>
    <w:rsid w:val="001E4421"/>
    <w:rsid w:val="00217F9B"/>
    <w:rsid w:val="00283A39"/>
    <w:rsid w:val="00284F14"/>
    <w:rsid w:val="002A2814"/>
    <w:rsid w:val="002B6038"/>
    <w:rsid w:val="002E0647"/>
    <w:rsid w:val="002E3C09"/>
    <w:rsid w:val="00313E00"/>
    <w:rsid w:val="00320CD8"/>
    <w:rsid w:val="00320FF8"/>
    <w:rsid w:val="00345EFE"/>
    <w:rsid w:val="00351CD0"/>
    <w:rsid w:val="00351F9B"/>
    <w:rsid w:val="003806B3"/>
    <w:rsid w:val="0038428D"/>
    <w:rsid w:val="0039327B"/>
    <w:rsid w:val="003E175F"/>
    <w:rsid w:val="003F6223"/>
    <w:rsid w:val="00452877"/>
    <w:rsid w:val="004566CD"/>
    <w:rsid w:val="00456F05"/>
    <w:rsid w:val="004A419B"/>
    <w:rsid w:val="005211D9"/>
    <w:rsid w:val="00530B99"/>
    <w:rsid w:val="00533E48"/>
    <w:rsid w:val="00562B70"/>
    <w:rsid w:val="005E6160"/>
    <w:rsid w:val="00602FE9"/>
    <w:rsid w:val="00647D31"/>
    <w:rsid w:val="006A09B0"/>
    <w:rsid w:val="006A4581"/>
    <w:rsid w:val="006B798E"/>
    <w:rsid w:val="006C12E2"/>
    <w:rsid w:val="006C5737"/>
    <w:rsid w:val="00712AFC"/>
    <w:rsid w:val="0075266A"/>
    <w:rsid w:val="007639BA"/>
    <w:rsid w:val="00773DBE"/>
    <w:rsid w:val="00775C25"/>
    <w:rsid w:val="007A0441"/>
    <w:rsid w:val="007B2FBE"/>
    <w:rsid w:val="008258FB"/>
    <w:rsid w:val="008316A1"/>
    <w:rsid w:val="00856B88"/>
    <w:rsid w:val="0087180E"/>
    <w:rsid w:val="0088257E"/>
    <w:rsid w:val="00886492"/>
    <w:rsid w:val="00927240"/>
    <w:rsid w:val="009352B5"/>
    <w:rsid w:val="00964B0D"/>
    <w:rsid w:val="00983392"/>
    <w:rsid w:val="0099705B"/>
    <w:rsid w:val="009A4C9B"/>
    <w:rsid w:val="009A7CA1"/>
    <w:rsid w:val="009B38C5"/>
    <w:rsid w:val="009B7581"/>
    <w:rsid w:val="009D1334"/>
    <w:rsid w:val="009F249E"/>
    <w:rsid w:val="00A27EF7"/>
    <w:rsid w:val="00A57D03"/>
    <w:rsid w:val="00AA435A"/>
    <w:rsid w:val="00AD3DF1"/>
    <w:rsid w:val="00AF4B8F"/>
    <w:rsid w:val="00AF7E98"/>
    <w:rsid w:val="00B04FF1"/>
    <w:rsid w:val="00B05CF3"/>
    <w:rsid w:val="00B359D0"/>
    <w:rsid w:val="00BD0217"/>
    <w:rsid w:val="00BE3CCB"/>
    <w:rsid w:val="00C055EF"/>
    <w:rsid w:val="00C157DD"/>
    <w:rsid w:val="00C2020A"/>
    <w:rsid w:val="00C33369"/>
    <w:rsid w:val="00C76E6A"/>
    <w:rsid w:val="00C82A34"/>
    <w:rsid w:val="00CA6A8E"/>
    <w:rsid w:val="00CC6F2B"/>
    <w:rsid w:val="00CC7762"/>
    <w:rsid w:val="00CE0A09"/>
    <w:rsid w:val="00CE69AC"/>
    <w:rsid w:val="00D049B0"/>
    <w:rsid w:val="00D05F80"/>
    <w:rsid w:val="00D241D5"/>
    <w:rsid w:val="00D50008"/>
    <w:rsid w:val="00D543F6"/>
    <w:rsid w:val="00D87DEB"/>
    <w:rsid w:val="00D90E77"/>
    <w:rsid w:val="00DB026A"/>
    <w:rsid w:val="00DC7671"/>
    <w:rsid w:val="00DD27A9"/>
    <w:rsid w:val="00E151CD"/>
    <w:rsid w:val="00E16F59"/>
    <w:rsid w:val="00E416DB"/>
    <w:rsid w:val="00E6711A"/>
    <w:rsid w:val="00EA5C75"/>
    <w:rsid w:val="00ED1E5A"/>
    <w:rsid w:val="00ED3FC9"/>
    <w:rsid w:val="00EE03F2"/>
    <w:rsid w:val="00F01998"/>
    <w:rsid w:val="00F13B24"/>
    <w:rsid w:val="00F15BBC"/>
    <w:rsid w:val="00F3138A"/>
    <w:rsid w:val="00F37C68"/>
    <w:rsid w:val="00F479AA"/>
    <w:rsid w:val="00F65120"/>
    <w:rsid w:val="00FB7245"/>
    <w:rsid w:val="00FD6015"/>
    <w:rsid w:val="00FE20A0"/>
    <w:rsid w:val="00FE6F5A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A3F2"/>
  <w15:chartTrackingRefBased/>
  <w15:docId w15:val="{20CA67AA-47FD-4DB5-A7FA-08FAE20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1F"/>
    <w:pPr>
      <w:spacing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F2B"/>
    <w:pPr>
      <w:keepNext/>
      <w:keepLines/>
      <w:spacing w:before="120"/>
      <w:outlineLvl w:val="0"/>
    </w:pPr>
    <w:rPr>
      <w:rFonts w:eastAsiaTheme="majorEastAsia" w:cstheme="majorBidi"/>
      <w:color w:val="2E74B5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F2B"/>
    <w:pPr>
      <w:keepNext/>
      <w:keepLines/>
      <w:spacing w:before="12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E6A"/>
    <w:pPr>
      <w:keepNext/>
      <w:keepLines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F1"/>
    <w:pPr>
      <w:keepNext/>
      <w:keepLines/>
      <w:spacing w:before="240" w:line="360" w:lineRule="auto"/>
      <w:jc w:val="both"/>
      <w:outlineLvl w:val="3"/>
    </w:pPr>
    <w:rPr>
      <w:rFonts w:eastAsiaTheme="majorEastAsia" w:cstheme="majorBidi"/>
      <w:i/>
      <w:iCs/>
      <w:color w:val="000000" w:themeColor="text1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F2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6F2B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6F2B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E6A"/>
    <w:rPr>
      <w:rFonts w:ascii="Arial" w:eastAsiaTheme="majorEastAsia" w:hAnsi="Arial" w:cstheme="majorBidi"/>
      <w:i/>
      <w:sz w:val="21"/>
      <w:szCs w:val="24"/>
    </w:rPr>
  </w:style>
  <w:style w:type="table" w:styleId="TableGrid">
    <w:name w:val="Table Grid"/>
    <w:basedOn w:val="TableNormal"/>
    <w:uiPriority w:val="59"/>
    <w:rsid w:val="001A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7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7C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7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7D0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F1"/>
    <w:rPr>
      <w:rFonts w:ascii="Arial" w:eastAsiaTheme="majorEastAsia" w:hAnsi="Arial" w:cstheme="majorBidi"/>
      <w:i/>
      <w:iCs/>
      <w:color w:val="000000" w:themeColor="text1"/>
      <w:sz w:val="21"/>
      <w:lang w:val="en-NZ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D3DF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3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D3DF1"/>
    <w:pPr>
      <w:tabs>
        <w:tab w:val="center" w:pos="4513"/>
        <w:tab w:val="right" w:pos="9026"/>
      </w:tabs>
      <w:spacing w:after="0"/>
      <w:jc w:val="both"/>
    </w:pPr>
    <w:rPr>
      <w:rFonts w:eastAsiaTheme="minorEastAsia"/>
      <w:lang w:val="en-NZ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3DF1"/>
    <w:rPr>
      <w:rFonts w:ascii="Arial" w:eastAsiaTheme="minorEastAsia" w:hAnsi="Arial"/>
      <w:sz w:val="21"/>
      <w:lang w:val="en-NZ"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AD3DF1"/>
    <w:pPr>
      <w:tabs>
        <w:tab w:val="center" w:pos="4513"/>
        <w:tab w:val="right" w:pos="9026"/>
      </w:tabs>
      <w:spacing w:after="0"/>
      <w:jc w:val="both"/>
    </w:pPr>
    <w:rPr>
      <w:rFonts w:eastAsiaTheme="minorEastAsia"/>
      <w:lang w:val="en-NZ"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3DF1"/>
    <w:rPr>
      <w:rFonts w:ascii="Arial" w:eastAsiaTheme="minorEastAsia" w:hAnsi="Arial"/>
      <w:sz w:val="21"/>
      <w:lang w:val="en-NZ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DF1"/>
    <w:pPr>
      <w:spacing w:after="240" w:line="360" w:lineRule="auto"/>
      <w:jc w:val="both"/>
    </w:pPr>
    <w:rPr>
      <w:rFonts w:eastAsiaTheme="minorEastAsia"/>
      <w:iCs/>
      <w:szCs w:val="18"/>
      <w:lang w:val="en-NZ" w:eastAsia="ja-JP"/>
    </w:rPr>
  </w:style>
  <w:style w:type="paragraph" w:styleId="NoSpacing">
    <w:name w:val="No Spacing"/>
    <w:uiPriority w:val="1"/>
    <w:qFormat/>
    <w:rsid w:val="00AD3DF1"/>
    <w:pPr>
      <w:spacing w:after="0" w:line="240" w:lineRule="auto"/>
      <w:jc w:val="both"/>
    </w:pPr>
    <w:rPr>
      <w:rFonts w:ascii="Arial" w:eastAsiaTheme="minorEastAsia" w:hAnsi="Arial"/>
      <w:sz w:val="21"/>
      <w:lang w:val="en-NZ" w:eastAsia="ja-JP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AD3DF1"/>
    <w:rPr>
      <w:rFonts w:ascii="Arial" w:hAnsi="Arial" w:cs="Arial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AD3DF1"/>
    <w:pPr>
      <w:spacing w:after="0" w:line="360" w:lineRule="auto"/>
      <w:jc w:val="center"/>
    </w:pPr>
    <w:rPr>
      <w:rFonts w:cs="Arial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AD3DF1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AD3DF1"/>
    <w:pPr>
      <w:jc w:val="both"/>
    </w:pPr>
    <w:rPr>
      <w:rFonts w:cs="Arial"/>
      <w:noProof/>
      <w:sz w:val="22"/>
    </w:rPr>
  </w:style>
  <w:style w:type="character" w:styleId="PlaceholderText">
    <w:name w:val="Placeholder Text"/>
    <w:basedOn w:val="DefaultParagraphFont"/>
    <w:uiPriority w:val="99"/>
    <w:semiHidden/>
    <w:rsid w:val="00AD3DF1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rsid w:val="00AD3DF1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B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5E5E188290B45BAC2DEEF04D056B7" ma:contentTypeVersion="14" ma:contentTypeDescription="Create a new document." ma:contentTypeScope="" ma:versionID="606e853a7085f85dcee430d5218c0cfd">
  <xsd:schema xmlns:xsd="http://www.w3.org/2001/XMLSchema" xmlns:xs="http://www.w3.org/2001/XMLSchema" xmlns:p="http://schemas.microsoft.com/office/2006/metadata/properties" xmlns:ns3="7e009cb0-d577-4d24-bdbd-0ac232b76c09" xmlns:ns4="6fd59ee4-8728-47a1-be03-ee7c408fe37b" targetNamespace="http://schemas.microsoft.com/office/2006/metadata/properties" ma:root="true" ma:fieldsID="4389fb403d02270b3a1e095ec64cd390" ns3:_="" ns4:_="">
    <xsd:import namespace="7e009cb0-d577-4d24-bdbd-0ac232b76c09"/>
    <xsd:import namespace="6fd59ee4-8728-47a1-be03-ee7c408fe3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09cb0-d577-4d24-bdbd-0ac232b76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59ee4-8728-47a1-be03-ee7c408fe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2FC5-1EF9-43C6-AFF5-108219FF2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C600D-36FF-4857-B615-7843A80B3527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fd59ee4-8728-47a1-be03-ee7c408fe37b"/>
    <ds:schemaRef ds:uri="7e009cb0-d577-4d24-bdbd-0ac232b76c09"/>
  </ds:schemaRefs>
</ds:datastoreItem>
</file>

<file path=customXml/itemProps3.xml><?xml version="1.0" encoding="utf-8"?>
<ds:datastoreItem xmlns:ds="http://schemas.openxmlformats.org/officeDocument/2006/customXml" ds:itemID="{FAF58C29-51BF-4FC1-80BF-A3CD67072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09cb0-d577-4d24-bdbd-0ac232b76c09"/>
    <ds:schemaRef ds:uri="6fd59ee4-8728-47a1-be03-ee7c408fe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0B5C1-3896-44AF-95B6-FF2CEBBE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Ikeda</dc:creator>
  <cp:keywords/>
  <dc:description/>
  <cp:lastModifiedBy>Erika Ikeda</cp:lastModifiedBy>
  <cp:revision>5</cp:revision>
  <dcterms:created xsi:type="dcterms:W3CDTF">2021-11-11T14:44:00Z</dcterms:created>
  <dcterms:modified xsi:type="dcterms:W3CDTF">2022-03-25T11:58:00Z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0x010100A505E5E188290B45BAC2DEEF04D056B7</vt:lpwstr>
  </property>
</Properties>
</file>