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BA4A" w14:textId="19141FC5" w:rsidR="009B7581" w:rsidRDefault="00107F72" w:rsidP="009B7581">
      <w:pPr>
        <w:pStyle w:val="Heading1"/>
      </w:pPr>
      <w:r>
        <w:t>Additional File 6</w:t>
      </w:r>
    </w:p>
    <w:p w14:paraId="2A4F9D66" w14:textId="77777777" w:rsidR="009B7581" w:rsidRDefault="009B7581" w:rsidP="009B7581">
      <w:pPr>
        <w:pStyle w:val="Heading2"/>
      </w:pPr>
      <w:r>
        <w:t>Baseline data of participants included and excluded from cross-sectional and longitudinal analyses</w:t>
      </w:r>
    </w:p>
    <w:tbl>
      <w:tblPr>
        <w:tblW w:w="15147" w:type="dxa"/>
        <w:tblLook w:val="04A0" w:firstRow="1" w:lastRow="0" w:firstColumn="1" w:lastColumn="0" w:noHBand="0" w:noVBand="1"/>
      </w:tblPr>
      <w:tblGrid>
        <w:gridCol w:w="2694"/>
        <w:gridCol w:w="684"/>
        <w:gridCol w:w="1725"/>
        <w:gridCol w:w="684"/>
        <w:gridCol w:w="1726"/>
        <w:gridCol w:w="1255"/>
        <w:gridCol w:w="243"/>
        <w:gridCol w:w="684"/>
        <w:gridCol w:w="1787"/>
        <w:gridCol w:w="684"/>
        <w:gridCol w:w="1726"/>
        <w:gridCol w:w="1255"/>
      </w:tblGrid>
      <w:tr w:rsidR="009B7581" w:rsidRPr="00284F14" w14:paraId="37685674" w14:textId="77777777" w:rsidTr="009B758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0634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D966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Cross-sectional analysis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F618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E0F7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5372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Longitudinal analysis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F3606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</w:tr>
      <w:tr w:rsidR="009B7581" w:rsidRPr="00284F14" w14:paraId="3C72D94E" w14:textId="77777777" w:rsidTr="009B758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648D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48D8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Included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AE5537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Excluded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81B82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4615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D17736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Included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D71574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Excluded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5EDDE0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</w:tr>
      <w:tr w:rsidR="009B7581" w:rsidRPr="00284F14" w14:paraId="76A75DAB" w14:textId="77777777" w:rsidTr="009B758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753CA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626AD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6A0D2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% or </w:t>
            </w:r>
            <w:proofErr w:type="spellStart"/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Mean±SD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274A0A9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443D5A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% or </w:t>
            </w:r>
            <w:proofErr w:type="spellStart"/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Mean±SD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263E3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Difference*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CC2A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B32C9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82674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% or </w:t>
            </w:r>
            <w:proofErr w:type="spellStart"/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Mean±SD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E681D62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B3C3283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% or </w:t>
            </w:r>
            <w:proofErr w:type="spellStart"/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Mean±SD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A9372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Difference*</w:t>
            </w:r>
          </w:p>
        </w:tc>
      </w:tr>
      <w:tr w:rsidR="009B7581" w:rsidRPr="00284F14" w14:paraId="6C6E0650" w14:textId="77777777" w:rsidTr="009B758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607C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Age (year)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3629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3871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96D0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11.3±1.2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BF942F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4663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DA4BB1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11.7±0.8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6B40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t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-15.37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&lt;0.001)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7209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7972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2302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CA68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11.4±1.2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F5AFE7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6232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86A1822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11.5±0.9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8819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t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-5.11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&lt;0.001)</w:t>
            </w:r>
          </w:p>
        </w:tc>
      </w:tr>
      <w:tr w:rsidR="009B7581" w:rsidRPr="00284F14" w14:paraId="1DEE1C01" w14:textId="77777777" w:rsidTr="009B758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2618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Sex (female)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4A72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3871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EE8D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53.5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CB69DE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4666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7A950E6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52.7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16CE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X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2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0.54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=0.463)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DD86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2935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2302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B3B0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54.5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62542F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6235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4446279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52.5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75CD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X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2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2.60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=0.107)</w:t>
            </w:r>
          </w:p>
        </w:tc>
      </w:tr>
      <w:tr w:rsidR="009B7581" w:rsidRPr="00284F14" w14:paraId="283BBEFE" w14:textId="77777777" w:rsidTr="009B7581">
        <w:trPr>
          <w:trHeight w:val="2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B526C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Maternal education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(high school; college; university)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EA1E1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3871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B4DD94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32.1; 44.9; 23.0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FA52A04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3030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E49BE96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30.8; 43.7; 25.5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2156E2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X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2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44.10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&lt;0.001)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F0680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7933A5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2302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BEFDF0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30.8; 43.7; 25.5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1208E1F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4599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8F8FBF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28.0; 49.0; 23.1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E86372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X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2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17.36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&lt;0.001)</w:t>
            </w:r>
          </w:p>
        </w:tc>
      </w:tr>
      <w:tr w:rsidR="009B7581" w:rsidRPr="00284F14" w14:paraId="50A7707C" w14:textId="77777777" w:rsidTr="009B758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AE10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MVPA (min/day)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8AB33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3871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CD0EC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54.5±26.0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B797EB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4680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E4BF654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58.1±58.5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5CAD6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t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-3.58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&lt;0.001)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330C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45077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2302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FA1D9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54.7±25.6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EA0D9A6" w14:textId="77777777" w:rsidR="009B7581" w:rsidRPr="00284F14" w:rsidRDefault="009B7581" w:rsidP="009B7581">
            <w:pPr>
              <w:spacing w:after="0"/>
              <w:jc w:val="center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6249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BCA8AA7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57.1±52.4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5D7DF" w14:textId="77777777" w:rsidR="009B7581" w:rsidRPr="00284F14" w:rsidRDefault="009B7581" w:rsidP="009B758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t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= -2.17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br/>
              <w:t>(</w:t>
            </w:r>
            <w:r w:rsidRPr="00284F14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</w:t>
            </w:r>
            <w:r w:rsidRPr="00284F14">
              <w:rPr>
                <w:rFonts w:eastAsia="Times New Roman" w:cs="Arial"/>
                <w:color w:val="000000"/>
                <w:szCs w:val="21"/>
                <w:lang w:eastAsia="en-GB"/>
              </w:rPr>
              <w:t>=0.030)</w:t>
            </w:r>
          </w:p>
        </w:tc>
      </w:tr>
    </w:tbl>
    <w:p w14:paraId="4293233B" w14:textId="77777777" w:rsidR="009B7581" w:rsidRDefault="009B7581" w:rsidP="009B7581">
      <w:r w:rsidRPr="00ED1E5A">
        <w:t xml:space="preserve">*Differences were tested using either </w:t>
      </w:r>
      <w:r>
        <w:t>independent t-tests or chi-</w:t>
      </w:r>
      <w:r w:rsidRPr="00ED1E5A">
        <w:t>square</w:t>
      </w:r>
      <w:r>
        <w:t>d (</w:t>
      </w:r>
      <w:r w:rsidRPr="00313E00">
        <w:rPr>
          <w:i/>
        </w:rPr>
        <w:t>X</w:t>
      </w:r>
      <w:r w:rsidRPr="00313E00">
        <w:rPr>
          <w:vertAlign w:val="superscript"/>
        </w:rPr>
        <w:t>2</w:t>
      </w:r>
      <w:r>
        <w:t>)</w:t>
      </w:r>
      <w:r w:rsidRPr="00ED1E5A">
        <w:t xml:space="preserve"> tests</w:t>
      </w:r>
    </w:p>
    <w:p w14:paraId="21BB74A3" w14:textId="77777777" w:rsidR="009B7581" w:rsidRDefault="009B7581" w:rsidP="009B7581">
      <w:bookmarkStart w:id="0" w:name="_GoBack"/>
      <w:bookmarkEnd w:id="0"/>
    </w:p>
    <w:sectPr w:rsidR="009B7581" w:rsidSect="00E86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86B83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600D-36FF-4857-B615-7843A80B3527}">
  <ds:schemaRefs>
    <ds:schemaRef ds:uri="http://purl.org/dc/elements/1.1/"/>
    <ds:schemaRef ds:uri="7e009cb0-d577-4d24-bdbd-0ac232b76c09"/>
    <ds:schemaRef ds:uri="http://purl.org/dc/dcmitype/"/>
    <ds:schemaRef ds:uri="http://schemas.microsoft.com/office/2006/documentManagement/types"/>
    <ds:schemaRef ds:uri="http://purl.org/dc/terms/"/>
    <ds:schemaRef ds:uri="6fd59ee4-8728-47a1-be03-ee7c408fe37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7C589-1B26-4F9E-AA28-FD5E54A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4</cp:revision>
  <dcterms:created xsi:type="dcterms:W3CDTF">2021-11-11T14:44:00Z</dcterms:created>
  <dcterms:modified xsi:type="dcterms:W3CDTF">2022-03-25T12:00:00Z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