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713A" w14:textId="4AEF89FB" w:rsidR="001937E8" w:rsidRPr="001937E8" w:rsidRDefault="001937E8">
      <w:pPr>
        <w:rPr>
          <w:rFonts w:ascii="Arial" w:hAnsi="Arial" w:cs="Arial"/>
          <w:sz w:val="22"/>
          <w:szCs w:val="22"/>
        </w:rPr>
      </w:pPr>
      <w:r w:rsidRPr="001937E8">
        <w:rPr>
          <w:rFonts w:ascii="Arial" w:hAnsi="Arial" w:cs="Arial"/>
          <w:b/>
          <w:bCs/>
          <w:sz w:val="22"/>
          <w:szCs w:val="22"/>
        </w:rPr>
        <w:t>Additional File 1:</w:t>
      </w:r>
      <w:r w:rsidRPr="001937E8">
        <w:rPr>
          <w:rFonts w:ascii="Arial" w:hAnsi="Arial" w:cs="Arial"/>
          <w:sz w:val="22"/>
          <w:szCs w:val="22"/>
        </w:rPr>
        <w:t xml:space="preserve">  Grading the </w:t>
      </w:r>
      <w:r w:rsidR="00532CF6">
        <w:rPr>
          <w:rFonts w:ascii="Arial" w:hAnsi="Arial" w:cs="Arial"/>
          <w:sz w:val="22"/>
          <w:szCs w:val="22"/>
        </w:rPr>
        <w:t>b</w:t>
      </w:r>
      <w:r w:rsidRPr="001937E8">
        <w:rPr>
          <w:rFonts w:ascii="Arial" w:hAnsi="Arial" w:cs="Arial"/>
          <w:sz w:val="22"/>
          <w:szCs w:val="22"/>
        </w:rPr>
        <w:t xml:space="preserve">ody </w:t>
      </w:r>
      <w:r w:rsidR="00532CF6">
        <w:rPr>
          <w:rFonts w:ascii="Arial" w:hAnsi="Arial" w:cs="Arial"/>
          <w:sz w:val="22"/>
          <w:szCs w:val="22"/>
        </w:rPr>
        <w:t xml:space="preserve">and certainty </w:t>
      </w:r>
      <w:r w:rsidRPr="001937E8">
        <w:rPr>
          <w:rFonts w:ascii="Arial" w:hAnsi="Arial" w:cs="Arial"/>
          <w:sz w:val="22"/>
          <w:szCs w:val="22"/>
        </w:rPr>
        <w:t xml:space="preserve">of </w:t>
      </w:r>
      <w:r w:rsidR="00532CF6">
        <w:rPr>
          <w:rFonts w:ascii="Arial" w:hAnsi="Arial" w:cs="Arial"/>
          <w:sz w:val="22"/>
          <w:szCs w:val="22"/>
        </w:rPr>
        <w:t>e</w:t>
      </w:r>
      <w:r w:rsidRPr="001937E8">
        <w:rPr>
          <w:rFonts w:ascii="Arial" w:hAnsi="Arial" w:cs="Arial"/>
          <w:sz w:val="22"/>
          <w:szCs w:val="22"/>
        </w:rPr>
        <w:t>vidence</w:t>
      </w:r>
    </w:p>
    <w:p w14:paraId="6FD109DF" w14:textId="7D62A2A4" w:rsidR="00940A62" w:rsidRPr="001937E8" w:rsidRDefault="00940A62">
      <w:pPr>
        <w:rPr>
          <w:rFonts w:ascii="Arial" w:hAnsi="Arial" w:cs="Arial"/>
          <w:sz w:val="22"/>
          <w:szCs w:val="22"/>
        </w:rPr>
      </w:pPr>
      <w:r w:rsidRPr="001937E8">
        <w:rPr>
          <w:rFonts w:ascii="Arial" w:hAnsi="Arial" w:cs="Arial"/>
          <w:sz w:val="22"/>
          <w:szCs w:val="22"/>
        </w:rPr>
        <w:t xml:space="preserve">The Grading of Recommendations Assessment, Development and Evaluation (GRADE) method was used to rate the certainty of the evidence for each PI/ECO </w:t>
      </w:r>
      <w:r w:rsidR="00F16A09" w:rsidRPr="00050FA1">
        <w:rPr>
          <w:rFonts w:ascii="Arial" w:eastAsia="Times New Roman" w:hAnsi="Arial" w:cs="Arial"/>
          <w:sz w:val="22"/>
          <w:szCs w:val="22"/>
          <w:lang w:eastAsia="en-AU"/>
        </w:rPr>
        <w:fldChar w:fldCharType="begin">
          <w:fldData xml:space="preserve">PEVuZE5vdGU+PENpdGU+PEF1dGhvcj5HdXlhdHQ8L0F1dGhvcj48WWVhcj4yMDA4PC9ZZWFyPjxS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</w:fldData>
        </w:fldChar>
      </w:r>
      <w:r w:rsidR="00532CF6">
        <w:rPr>
          <w:rFonts w:ascii="Arial" w:eastAsia="Times New Roman" w:hAnsi="Arial" w:cs="Arial"/>
          <w:sz w:val="22"/>
          <w:szCs w:val="22"/>
          <w:lang w:eastAsia="en-AU"/>
        </w:rPr>
        <w:instrText xml:space="preserve"> ADDIN EN.CITE </w:instrText>
      </w:r>
      <w:r w:rsidR="00532CF6">
        <w:rPr>
          <w:rFonts w:ascii="Arial" w:eastAsia="Times New Roman" w:hAnsi="Arial" w:cs="Arial"/>
          <w:sz w:val="22"/>
          <w:szCs w:val="22"/>
          <w:lang w:eastAsia="en-AU"/>
        </w:rPr>
        <w:fldChar w:fldCharType="begin">
          <w:fldData xml:space="preserve">PEVuZE5vdGU+PENpdGU+PEF1dGhvcj5HdXlhdHQ8L0F1dGhvcj48WWVhcj4yMDA4PC9ZZWFyPjxS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</w:fldData>
        </w:fldChar>
      </w:r>
      <w:r w:rsidR="00532CF6">
        <w:rPr>
          <w:rFonts w:ascii="Arial" w:eastAsia="Times New Roman" w:hAnsi="Arial" w:cs="Arial"/>
          <w:sz w:val="22"/>
          <w:szCs w:val="22"/>
          <w:lang w:eastAsia="en-AU"/>
        </w:rPr>
        <w:instrText xml:space="preserve"> ADDIN EN.CITE.DATA </w:instrText>
      </w:r>
      <w:r w:rsidR="00532CF6">
        <w:rPr>
          <w:rFonts w:ascii="Arial" w:eastAsia="Times New Roman" w:hAnsi="Arial" w:cs="Arial"/>
          <w:sz w:val="22"/>
          <w:szCs w:val="22"/>
          <w:lang w:eastAsia="en-AU"/>
        </w:rPr>
      </w:r>
      <w:r w:rsidR="00532CF6">
        <w:rPr>
          <w:rFonts w:ascii="Arial" w:eastAsia="Times New Roman" w:hAnsi="Arial" w:cs="Arial"/>
          <w:sz w:val="22"/>
          <w:szCs w:val="22"/>
          <w:lang w:eastAsia="en-AU"/>
        </w:rPr>
        <w:fldChar w:fldCharType="end"/>
      </w:r>
      <w:r w:rsidR="00F16A09" w:rsidRPr="00050FA1">
        <w:rPr>
          <w:rFonts w:ascii="Arial" w:eastAsia="Times New Roman" w:hAnsi="Arial" w:cs="Arial"/>
          <w:sz w:val="22"/>
          <w:szCs w:val="22"/>
          <w:lang w:eastAsia="en-AU"/>
        </w:rPr>
      </w:r>
      <w:r w:rsidR="00F16A09" w:rsidRPr="00050FA1">
        <w:rPr>
          <w:rFonts w:ascii="Arial" w:eastAsia="Times New Roman" w:hAnsi="Arial" w:cs="Arial"/>
          <w:sz w:val="22"/>
          <w:szCs w:val="22"/>
          <w:lang w:eastAsia="en-AU"/>
        </w:rPr>
        <w:fldChar w:fldCharType="separate"/>
      </w:r>
      <w:r w:rsidR="00532CF6">
        <w:rPr>
          <w:rFonts w:ascii="Arial" w:eastAsia="Times New Roman" w:hAnsi="Arial" w:cs="Arial"/>
          <w:noProof/>
          <w:sz w:val="22"/>
          <w:szCs w:val="22"/>
          <w:lang w:eastAsia="en-AU"/>
        </w:rPr>
        <w:t>(1)</w:t>
      </w:r>
      <w:r w:rsidR="00F16A09" w:rsidRPr="00050FA1">
        <w:rPr>
          <w:rFonts w:ascii="Arial" w:eastAsia="Times New Roman" w:hAnsi="Arial" w:cs="Arial"/>
          <w:sz w:val="22"/>
          <w:szCs w:val="22"/>
          <w:lang w:eastAsia="en-AU"/>
        </w:rPr>
        <w:fldChar w:fldCharType="end"/>
      </w:r>
      <w:r w:rsidRPr="001937E8">
        <w:rPr>
          <w:rFonts w:ascii="Arial" w:hAnsi="Arial" w:cs="Arial"/>
          <w:sz w:val="22"/>
          <w:szCs w:val="22"/>
        </w:rPr>
        <w:t>, based on the underlying evidence in the reviews. When available, the GRADE “Evidence Profiles” or “Summary of Findings” tables from each review, were used as a starting point. If no table was available within the existing systematic reviews, Evidence Profile tables for each population and outcome of interest were constructed.</w:t>
      </w:r>
    </w:p>
    <w:p w14:paraId="33DAEAAC" w14:textId="4667816F" w:rsidR="00940A62" w:rsidRPr="001937E8" w:rsidRDefault="00940A62">
      <w:pPr>
        <w:rPr>
          <w:rFonts w:ascii="Arial" w:hAnsi="Arial" w:cs="Arial"/>
          <w:sz w:val="22"/>
          <w:szCs w:val="22"/>
        </w:rPr>
      </w:pPr>
      <w:r w:rsidRPr="001937E8">
        <w:rPr>
          <w:rFonts w:ascii="Arial" w:hAnsi="Arial" w:cs="Arial"/>
          <w:sz w:val="22"/>
          <w:szCs w:val="22"/>
        </w:rPr>
        <w:t>The following GRADE criteria were considered: study design, risk of bias, consistency of effect, indirectness, precision of effect, and other limitations, including publication bias and factors for upgrading observational evidence (magnitude of effect, dose-response, and effects of confounders). Observational evidence from well-conducted longitudinal studies within the reviews was also upgraded to better reflect the increased certainty in findings regarding associations between sedentary behaviour and outcomes from such studies more appropriately. Studies that evaluated intermediate/indirect outcomes were not necessarily downgraded</w:t>
      </w:r>
      <w:r w:rsidR="00B5778A">
        <w:rPr>
          <w:rFonts w:ascii="Arial" w:hAnsi="Arial" w:cs="Arial"/>
          <w:sz w:val="22"/>
          <w:szCs w:val="22"/>
        </w:rPr>
        <w:t xml:space="preserve"> if</w:t>
      </w:r>
      <w:r w:rsidRPr="001937E8">
        <w:rPr>
          <w:rFonts w:ascii="Arial" w:hAnsi="Arial" w:cs="Arial"/>
          <w:sz w:val="22"/>
          <w:szCs w:val="22"/>
        </w:rPr>
        <w:t xml:space="preserve"> prioritized by the </w:t>
      </w:r>
      <w:r w:rsidR="00B5778A">
        <w:rPr>
          <w:rFonts w:ascii="Arial" w:hAnsi="Arial" w:cs="Arial"/>
          <w:sz w:val="22"/>
          <w:szCs w:val="22"/>
        </w:rPr>
        <w:t>Guideline Development Committee</w:t>
      </w:r>
      <w:r w:rsidRPr="001937E8">
        <w:rPr>
          <w:rFonts w:ascii="Arial" w:hAnsi="Arial" w:cs="Arial"/>
          <w:sz w:val="22"/>
          <w:szCs w:val="22"/>
        </w:rPr>
        <w:t xml:space="preserve">; the GRADE rating reflects the certainty in effects on those outcomes. In some cases, the GRADE ratings from existing reviews were modified to ensure consistency in application of GRADE methods. The certainty in the body of evidence for each outcome was assigned based on the following guidance </w:t>
      </w:r>
      <w:r w:rsidR="00F16A09" w:rsidRPr="00050FA1">
        <w:rPr>
          <w:rFonts w:ascii="Arial" w:eastAsia="Times New Roman" w:hAnsi="Arial" w:cs="Arial"/>
          <w:sz w:val="22"/>
          <w:szCs w:val="22"/>
          <w:lang w:eastAsia="en-AU"/>
        </w:rPr>
        <w:fldChar w:fldCharType="begin"/>
      </w:r>
      <w:r w:rsidR="00532CF6">
        <w:rPr>
          <w:rFonts w:ascii="Arial" w:eastAsia="Times New Roman" w:hAnsi="Arial" w:cs="Arial"/>
          <w:sz w:val="22"/>
          <w:szCs w:val="22"/>
          <w:lang w:eastAsia="en-AU"/>
        </w:rPr>
        <w:instrText xml:space="preserve"> ADDIN EN.CITE &lt;EndNote&gt;&lt;Cite&gt;&lt;Author&gt;Balshem&lt;/Author&gt;&lt;Year&gt;2011&lt;/Year&gt;&lt;RecNum&gt;8596&lt;/RecNum&gt;&lt;DisplayText&gt;(2)&lt;/DisplayText&gt;&lt;record&gt;&lt;rec-number&gt;8596&lt;/rec-number&gt;&lt;foreign-keys&gt;&lt;key app="EN" db-id="fewa00r24xt2teex5xppe5zgv9pd95p59pav" timestamp="1594321807"&gt;8596&lt;/key&gt;&lt;/foreign-keys&gt;&lt;ref-type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Epidemiol&lt;/secondary-title&gt;&lt;/titles&gt;&lt;periodical&gt;&lt;full-title&gt;J Clin Epidemiol&lt;/full-title&gt;&lt;abbr-1&gt;Journal of clinical epidemiology&lt;/abbr-1&gt;&lt;/periodical&gt;&lt;pages&gt;401-6&lt;/pages&gt;&lt;volume&gt;64&lt;/volume&gt;&lt;number&gt;4&lt;/number&gt;&lt;edition&gt;2011/01/07&lt;/edition&gt;&lt;keywords&gt;&lt;keyword&gt;Evidence-Based Medicine/*standards&lt;/keyword&gt;&lt;keyword&gt;Female&lt;/keyword&gt;&lt;keyword&gt;Guideline Adherence&lt;/keyword&gt;&lt;keyword&gt;Humans&lt;/keyword&gt;&lt;keyword&gt;Male&lt;/keyword&gt;&lt;keyword&gt;Practice Guidelines as Topic/*standards&lt;/keyword&gt;&lt;keyword&gt;*Publication Bias&lt;/keyword&gt;&lt;keyword&gt;Quality Assurance, Health Care/*standards&lt;/keyword&gt;&lt;/keywords&gt;&lt;dates&gt;&lt;year&gt;2011&lt;/year&gt;&lt;pub-dates&gt;&lt;date&gt;Apr&lt;/date&gt;&lt;/pub-dates&gt;&lt;/dates&gt;&lt;isbn&gt;1878-5921 (Electronic)&amp;#xD;0895-4356 (Linking)&lt;/isbn&gt;&lt;accession-num&gt;21208779&lt;/accession-num&gt;&lt;urls&gt;&lt;related-urls&gt;&lt;url&gt;https://www.ncbi.nlm.nih.gov/pubmed/21208779&lt;/url&gt;&lt;/related-urls&gt;&lt;/urls&gt;&lt;electronic-resource-num&gt;10.1016/j.jclinepi.2010.07.015&lt;/electronic-resource-num&gt;&lt;remote-database-provider&gt;NLM&lt;/remote-database-provider&gt;&lt;language&gt;eng&lt;/language&gt;&lt;/record&gt;&lt;/Cite&gt;&lt;/EndNote&gt;</w:instrText>
      </w:r>
      <w:r w:rsidR="00F16A09" w:rsidRPr="00050FA1">
        <w:rPr>
          <w:rFonts w:ascii="Arial" w:eastAsia="Times New Roman" w:hAnsi="Arial" w:cs="Arial"/>
          <w:sz w:val="22"/>
          <w:szCs w:val="22"/>
          <w:lang w:eastAsia="en-AU"/>
        </w:rPr>
        <w:fldChar w:fldCharType="separate"/>
      </w:r>
      <w:r w:rsidR="00532CF6">
        <w:rPr>
          <w:rFonts w:ascii="Arial" w:eastAsia="Times New Roman" w:hAnsi="Arial" w:cs="Arial"/>
          <w:noProof/>
          <w:sz w:val="22"/>
          <w:szCs w:val="22"/>
          <w:lang w:eastAsia="en-AU"/>
        </w:rPr>
        <w:t>(2)</w:t>
      </w:r>
      <w:r w:rsidR="00F16A09" w:rsidRPr="00050FA1">
        <w:rPr>
          <w:rFonts w:ascii="Arial" w:eastAsia="Times New Roman" w:hAnsi="Arial" w:cs="Arial"/>
          <w:sz w:val="22"/>
          <w:szCs w:val="22"/>
          <w:lang w:eastAsia="en-AU"/>
        </w:rPr>
        <w:fldChar w:fldCharType="end"/>
      </w:r>
      <w:r w:rsidRPr="001937E8">
        <w:rPr>
          <w:rFonts w:ascii="Arial" w:hAnsi="Arial" w:cs="Arial"/>
          <w:sz w:val="22"/>
          <w:szCs w:val="22"/>
        </w:rPr>
        <w:t>:</w:t>
      </w:r>
    </w:p>
    <w:p w14:paraId="1F6A6C9D" w14:textId="77777777" w:rsidR="00940A62" w:rsidRPr="001937E8" w:rsidRDefault="00940A62" w:rsidP="00940A62">
      <w:pPr>
        <w:spacing w:after="0"/>
        <w:rPr>
          <w:rFonts w:ascii="Arial" w:hAnsi="Arial" w:cs="Arial"/>
          <w:sz w:val="22"/>
          <w:szCs w:val="22"/>
        </w:rPr>
      </w:pPr>
    </w:p>
    <w:tbl>
      <w:tblPr>
        <w:tblStyle w:val="TableGrid"/>
        <w:tblW w:w="0" w:type="auto"/>
        <w:tblLook w:val="04A0" w:firstRow="1" w:lastRow="0" w:firstColumn="1" w:lastColumn="0" w:noHBand="0" w:noVBand="1"/>
      </w:tblPr>
      <w:tblGrid>
        <w:gridCol w:w="1271"/>
        <w:gridCol w:w="7745"/>
      </w:tblGrid>
      <w:tr w:rsidR="00940A62" w:rsidRPr="00F16A09" w14:paraId="5E1B74A5" w14:textId="77777777" w:rsidTr="00F16A09">
        <w:tc>
          <w:tcPr>
            <w:tcW w:w="1271" w:type="dxa"/>
          </w:tcPr>
          <w:p w14:paraId="2111E170" w14:textId="0C2B997F" w:rsidR="00940A62" w:rsidRPr="00F16A09" w:rsidRDefault="00940A62" w:rsidP="00940A62">
            <w:pPr>
              <w:pStyle w:val="Default"/>
              <w:rPr>
                <w:rFonts w:ascii="Arial Narrow" w:hAnsi="Arial Narrow" w:cs="Arial"/>
                <w:b/>
                <w:bCs/>
                <w:sz w:val="22"/>
                <w:szCs w:val="22"/>
              </w:rPr>
            </w:pPr>
            <w:r w:rsidRPr="00F16A09">
              <w:rPr>
                <w:rFonts w:ascii="Arial Narrow" w:hAnsi="Arial Narrow" w:cs="Arial"/>
                <w:b/>
                <w:bCs/>
                <w:sz w:val="22"/>
                <w:szCs w:val="22"/>
              </w:rPr>
              <w:t xml:space="preserve">High </w:t>
            </w:r>
          </w:p>
        </w:tc>
        <w:tc>
          <w:tcPr>
            <w:tcW w:w="7745" w:type="dxa"/>
          </w:tcPr>
          <w:p w14:paraId="758F0BC8" w14:textId="77777777" w:rsidR="00940A62" w:rsidRPr="00F16A09" w:rsidRDefault="00940A62" w:rsidP="00940A62">
            <w:pPr>
              <w:pStyle w:val="Default"/>
              <w:rPr>
                <w:rFonts w:ascii="Arial Narrow" w:hAnsi="Arial Narrow" w:cs="Arial"/>
                <w:sz w:val="22"/>
                <w:szCs w:val="22"/>
              </w:rPr>
            </w:pPr>
            <w:r w:rsidRPr="00F16A09">
              <w:rPr>
                <w:rFonts w:ascii="Arial Narrow" w:hAnsi="Arial Narrow" w:cs="Arial"/>
                <w:sz w:val="22"/>
                <w:szCs w:val="22"/>
              </w:rPr>
              <w:t xml:space="preserve">We are very confident that the true effect lies close to that of the estimate of the effect </w:t>
            </w:r>
          </w:p>
          <w:p w14:paraId="46023797" w14:textId="77777777" w:rsidR="00940A62" w:rsidRPr="00F16A09" w:rsidRDefault="00940A62">
            <w:pPr>
              <w:rPr>
                <w:rFonts w:ascii="Arial Narrow" w:hAnsi="Arial Narrow" w:cs="Arial"/>
                <w:sz w:val="22"/>
                <w:szCs w:val="22"/>
              </w:rPr>
            </w:pPr>
          </w:p>
        </w:tc>
      </w:tr>
      <w:tr w:rsidR="00940A62" w:rsidRPr="00F16A09" w14:paraId="4C33353D" w14:textId="77777777" w:rsidTr="00F16A09">
        <w:tc>
          <w:tcPr>
            <w:tcW w:w="1271" w:type="dxa"/>
          </w:tcPr>
          <w:p w14:paraId="5E56C125" w14:textId="2E573346" w:rsidR="00940A62" w:rsidRPr="00F16A09" w:rsidRDefault="00940A62">
            <w:pPr>
              <w:rPr>
                <w:rFonts w:ascii="Arial Narrow" w:hAnsi="Arial Narrow" w:cs="Arial"/>
                <w:b/>
                <w:bCs/>
                <w:sz w:val="22"/>
                <w:szCs w:val="22"/>
              </w:rPr>
            </w:pPr>
            <w:r w:rsidRPr="00F16A09">
              <w:rPr>
                <w:rFonts w:ascii="Arial Narrow" w:hAnsi="Arial Narrow" w:cs="Arial"/>
                <w:b/>
                <w:bCs/>
                <w:sz w:val="22"/>
                <w:szCs w:val="22"/>
              </w:rPr>
              <w:t>Moderate</w:t>
            </w:r>
          </w:p>
        </w:tc>
        <w:tc>
          <w:tcPr>
            <w:tcW w:w="7745" w:type="dxa"/>
          </w:tcPr>
          <w:p w14:paraId="2532FC08" w14:textId="77777777" w:rsidR="00940A62" w:rsidRPr="00F16A09" w:rsidRDefault="00940A62" w:rsidP="00940A62">
            <w:pPr>
              <w:pStyle w:val="Default"/>
              <w:rPr>
                <w:rFonts w:ascii="Arial Narrow" w:hAnsi="Arial Narrow" w:cs="Arial"/>
                <w:sz w:val="22"/>
                <w:szCs w:val="22"/>
              </w:rPr>
            </w:pPr>
            <w:r w:rsidRPr="00F16A09">
              <w:rPr>
                <w:rFonts w:ascii="Arial Narrow" w:hAnsi="Arial Narrow" w:cs="Arial"/>
                <w:sz w:val="22"/>
                <w:szCs w:val="22"/>
              </w:rPr>
              <w:t xml:space="preserve">We are moderately confident in the effect estimate: The true effect is likely to be close to the estimate of the effect, but there is a possibility that it is substantially different </w:t>
            </w:r>
          </w:p>
          <w:p w14:paraId="413C952A" w14:textId="77777777" w:rsidR="00940A62" w:rsidRPr="00F16A09" w:rsidRDefault="00940A62">
            <w:pPr>
              <w:rPr>
                <w:rFonts w:ascii="Arial Narrow" w:hAnsi="Arial Narrow" w:cs="Arial"/>
                <w:sz w:val="22"/>
                <w:szCs w:val="22"/>
              </w:rPr>
            </w:pPr>
          </w:p>
        </w:tc>
      </w:tr>
      <w:tr w:rsidR="00940A62" w:rsidRPr="00F16A09" w14:paraId="6E79A477" w14:textId="77777777" w:rsidTr="00F16A09">
        <w:tc>
          <w:tcPr>
            <w:tcW w:w="1271" w:type="dxa"/>
          </w:tcPr>
          <w:p w14:paraId="638E3BDA" w14:textId="37812BFB" w:rsidR="00940A62" w:rsidRPr="00F16A09" w:rsidRDefault="00940A62">
            <w:pPr>
              <w:rPr>
                <w:rFonts w:ascii="Arial Narrow" w:hAnsi="Arial Narrow" w:cs="Arial"/>
                <w:b/>
                <w:bCs/>
                <w:sz w:val="22"/>
                <w:szCs w:val="22"/>
              </w:rPr>
            </w:pPr>
            <w:r w:rsidRPr="00F16A09">
              <w:rPr>
                <w:rFonts w:ascii="Arial Narrow" w:hAnsi="Arial Narrow" w:cs="Arial"/>
                <w:b/>
                <w:bCs/>
                <w:sz w:val="22"/>
                <w:szCs w:val="22"/>
              </w:rPr>
              <w:t>Low</w:t>
            </w:r>
          </w:p>
        </w:tc>
        <w:tc>
          <w:tcPr>
            <w:tcW w:w="7745" w:type="dxa"/>
          </w:tcPr>
          <w:p w14:paraId="4000661A" w14:textId="77777777" w:rsidR="00940A62" w:rsidRPr="00F16A09" w:rsidRDefault="00940A62" w:rsidP="00940A62">
            <w:pPr>
              <w:pStyle w:val="Default"/>
              <w:rPr>
                <w:rFonts w:ascii="Arial Narrow" w:hAnsi="Arial Narrow" w:cs="Arial"/>
                <w:sz w:val="22"/>
                <w:szCs w:val="22"/>
              </w:rPr>
            </w:pPr>
            <w:r w:rsidRPr="00F16A09">
              <w:rPr>
                <w:rFonts w:ascii="Arial Narrow" w:hAnsi="Arial Narrow" w:cs="Arial"/>
                <w:sz w:val="22"/>
                <w:szCs w:val="22"/>
              </w:rPr>
              <w:t xml:space="preserve">Our confidence in the effect estimate is limited: The true effect may be substantially different from the estimate of the effect </w:t>
            </w:r>
          </w:p>
          <w:p w14:paraId="629AFA1A" w14:textId="77777777" w:rsidR="00940A62" w:rsidRPr="00F16A09" w:rsidRDefault="00940A62">
            <w:pPr>
              <w:rPr>
                <w:rFonts w:ascii="Arial Narrow" w:hAnsi="Arial Narrow" w:cs="Arial"/>
                <w:sz w:val="22"/>
                <w:szCs w:val="22"/>
              </w:rPr>
            </w:pPr>
          </w:p>
        </w:tc>
      </w:tr>
      <w:tr w:rsidR="00940A62" w:rsidRPr="00F16A09" w14:paraId="6F8F0DAC" w14:textId="77777777" w:rsidTr="00F16A09">
        <w:tc>
          <w:tcPr>
            <w:tcW w:w="1271" w:type="dxa"/>
          </w:tcPr>
          <w:p w14:paraId="4BA74E15" w14:textId="5B5D8AC8" w:rsidR="00940A62" w:rsidRPr="00F16A09" w:rsidRDefault="00940A62">
            <w:pPr>
              <w:rPr>
                <w:rFonts w:ascii="Arial Narrow" w:hAnsi="Arial Narrow" w:cs="Arial"/>
                <w:b/>
                <w:bCs/>
                <w:sz w:val="22"/>
                <w:szCs w:val="22"/>
              </w:rPr>
            </w:pPr>
            <w:r w:rsidRPr="00F16A09">
              <w:rPr>
                <w:rFonts w:ascii="Arial Narrow" w:hAnsi="Arial Narrow" w:cs="Arial"/>
                <w:b/>
                <w:bCs/>
                <w:sz w:val="22"/>
                <w:szCs w:val="22"/>
              </w:rPr>
              <w:t>Very low</w:t>
            </w:r>
          </w:p>
        </w:tc>
        <w:tc>
          <w:tcPr>
            <w:tcW w:w="7745" w:type="dxa"/>
          </w:tcPr>
          <w:p w14:paraId="0E9B45C8" w14:textId="77777777" w:rsidR="00940A62" w:rsidRPr="00F16A09" w:rsidRDefault="00940A62" w:rsidP="00940A62">
            <w:pPr>
              <w:pStyle w:val="Default"/>
              <w:rPr>
                <w:rFonts w:ascii="Arial Narrow" w:hAnsi="Arial Narrow" w:cs="Arial"/>
                <w:sz w:val="22"/>
                <w:szCs w:val="22"/>
              </w:rPr>
            </w:pPr>
            <w:r w:rsidRPr="00F16A09">
              <w:rPr>
                <w:rFonts w:ascii="Arial Narrow" w:hAnsi="Arial Narrow" w:cs="Arial"/>
                <w:sz w:val="22"/>
                <w:szCs w:val="22"/>
              </w:rPr>
              <w:t>We have very little confidence in the effect estimate: The true effect is likely to be substantially different from the estimate of effect.</w:t>
            </w:r>
          </w:p>
          <w:p w14:paraId="6C6B6859" w14:textId="515D97F4" w:rsidR="00940A62" w:rsidRPr="00F16A09" w:rsidRDefault="00940A62" w:rsidP="00940A62">
            <w:pPr>
              <w:pStyle w:val="Default"/>
              <w:rPr>
                <w:rFonts w:ascii="Arial Narrow" w:hAnsi="Arial Narrow" w:cs="Arial"/>
                <w:sz w:val="22"/>
                <w:szCs w:val="22"/>
              </w:rPr>
            </w:pPr>
          </w:p>
        </w:tc>
      </w:tr>
    </w:tbl>
    <w:p w14:paraId="4C3BBA2B" w14:textId="77777777" w:rsidR="00940A62" w:rsidRPr="001937E8" w:rsidRDefault="00940A62">
      <w:pPr>
        <w:rPr>
          <w:rFonts w:ascii="Arial" w:hAnsi="Arial" w:cs="Arial"/>
          <w:sz w:val="22"/>
          <w:szCs w:val="22"/>
        </w:rPr>
      </w:pPr>
    </w:p>
    <w:p w14:paraId="6831FD26" w14:textId="29285D03" w:rsidR="001937E8" w:rsidRDefault="00F16A09">
      <w:pPr>
        <w:rPr>
          <w:rFonts w:ascii="Arial" w:hAnsi="Arial" w:cs="Arial"/>
          <w:sz w:val="22"/>
          <w:szCs w:val="22"/>
        </w:rPr>
      </w:pPr>
      <w:r>
        <w:rPr>
          <w:rFonts w:ascii="Arial" w:hAnsi="Arial" w:cs="Arial"/>
          <w:sz w:val="22"/>
          <w:szCs w:val="22"/>
        </w:rPr>
        <w:t xml:space="preserve">Further details on the GRADE methods and process of going from evidence to recommendations (i.e. </w:t>
      </w:r>
      <w:r w:rsidRPr="001937E8">
        <w:rPr>
          <w:rFonts w:ascii="Arial" w:hAnsi="Arial" w:cs="Arial"/>
          <w:sz w:val="22"/>
          <w:szCs w:val="22"/>
        </w:rPr>
        <w:t>GRADE Evidence to Decisions (</w:t>
      </w:r>
      <w:proofErr w:type="spellStart"/>
      <w:r w:rsidRPr="001937E8">
        <w:rPr>
          <w:rFonts w:ascii="Arial" w:hAnsi="Arial" w:cs="Arial"/>
          <w:sz w:val="22"/>
          <w:szCs w:val="22"/>
        </w:rPr>
        <w:t>EtD</w:t>
      </w:r>
      <w:proofErr w:type="spellEnd"/>
      <w:r w:rsidRPr="001937E8">
        <w:rPr>
          <w:rFonts w:ascii="Arial" w:hAnsi="Arial" w:cs="Arial"/>
          <w:sz w:val="22"/>
          <w:szCs w:val="22"/>
        </w:rPr>
        <w:t>) framework</w:t>
      </w:r>
      <w:r>
        <w:rPr>
          <w:rFonts w:ascii="Arial" w:hAnsi="Arial" w:cs="Arial"/>
          <w:sz w:val="22"/>
          <w:szCs w:val="22"/>
        </w:rPr>
        <w:t xml:space="preserve">) can be found in the main WHO report </w:t>
      </w:r>
      <w:r w:rsidRPr="00050FA1">
        <w:rPr>
          <w:rFonts w:ascii="Arial" w:eastAsia="Times New Roman" w:hAnsi="Arial" w:cs="Arial"/>
          <w:sz w:val="22"/>
          <w:szCs w:val="22"/>
          <w:lang w:eastAsia="en-AU"/>
        </w:rPr>
        <w:fldChar w:fldCharType="begin"/>
      </w:r>
      <w:r w:rsidR="00712F5F">
        <w:rPr>
          <w:rFonts w:ascii="Arial" w:eastAsia="Times New Roman" w:hAnsi="Arial" w:cs="Arial"/>
          <w:sz w:val="22"/>
          <w:szCs w:val="22"/>
          <w:lang w:eastAsia="en-AU"/>
        </w:rPr>
        <w:instrText xml:space="preserve"> ADDIN EN.CITE &lt;EndNote&gt;&lt;Cite&gt;&lt;Author&gt;Bull&lt;/Author&gt;&lt;Year&gt;2020&lt;/Year&gt;&lt;RecNum&gt;8709&lt;/RecNum&gt;&lt;DisplayText&gt;(3)&lt;/DisplayText&gt;&lt;record&gt;&lt;rec-number&gt;8709&lt;/rec-number&gt;&lt;foreign-keys&gt;&lt;key app="EN" db-id="fewa00r24xt2teex5xppe5zgv9pd95p59pav" timestamp="1597584815"&gt;8709&lt;/key&gt;&lt;/foreign-keys&gt;&lt;ref-type name="Report"&gt;27&lt;/ref-type&gt;&lt;contributors&gt;&lt;authors&gt;&lt;author&gt;Bull, F.&lt;/author&gt;&lt;author&gt;Willumsen, J.&lt;/author&gt;&lt;/authors&gt;&lt;/contributors&gt;&lt;titles&gt;&lt;title&gt;World Health Organization. Guidelines on physical activity and sedentary behaviour&lt;/title&gt;&lt;/titles&gt;&lt;dates&gt;&lt;year&gt;2020&lt;/year&gt;&lt;/dates&gt;&lt;publisher&gt;World Health Organization: Geneva, Switzerland&lt;/publisher&gt;&lt;urls&gt;&lt;/urls&gt;&lt;/record&gt;&lt;/Cite&gt;&lt;/EndNote&gt;</w:instrText>
      </w:r>
      <w:r w:rsidRPr="00050FA1">
        <w:rPr>
          <w:rFonts w:ascii="Arial" w:eastAsia="Times New Roman" w:hAnsi="Arial" w:cs="Arial"/>
          <w:sz w:val="22"/>
          <w:szCs w:val="22"/>
          <w:lang w:eastAsia="en-AU"/>
        </w:rPr>
        <w:fldChar w:fldCharType="separate"/>
      </w:r>
      <w:r>
        <w:rPr>
          <w:rFonts w:ascii="Arial" w:eastAsia="Times New Roman" w:hAnsi="Arial" w:cs="Arial"/>
          <w:noProof/>
          <w:sz w:val="22"/>
          <w:szCs w:val="22"/>
          <w:lang w:eastAsia="en-AU"/>
        </w:rPr>
        <w:t>(3)</w:t>
      </w:r>
      <w:r w:rsidRPr="00050FA1">
        <w:rPr>
          <w:rFonts w:ascii="Arial" w:eastAsia="Times New Roman" w:hAnsi="Arial" w:cs="Arial"/>
          <w:sz w:val="22"/>
          <w:szCs w:val="22"/>
          <w:lang w:eastAsia="en-AU"/>
        </w:rPr>
        <w:fldChar w:fldCharType="end"/>
      </w:r>
      <w:r>
        <w:rPr>
          <w:rFonts w:ascii="Arial" w:hAnsi="Arial" w:cs="Arial"/>
          <w:sz w:val="22"/>
          <w:szCs w:val="22"/>
        </w:rPr>
        <w:t xml:space="preserve">. </w:t>
      </w:r>
      <w:r w:rsidRPr="00F16A09">
        <w:rPr>
          <w:rFonts w:ascii="Arial" w:hAnsi="Arial" w:cs="Arial"/>
          <w:sz w:val="22"/>
          <w:szCs w:val="22"/>
        </w:rPr>
        <w:t>GRADE tables detailing the overall certainty of evidence</w:t>
      </w:r>
      <w:r>
        <w:rPr>
          <w:rFonts w:ascii="Arial" w:hAnsi="Arial" w:cs="Arial"/>
          <w:sz w:val="22"/>
          <w:szCs w:val="22"/>
        </w:rPr>
        <w:t>,</w:t>
      </w:r>
      <w:r w:rsidRPr="00F16A09">
        <w:rPr>
          <w:rFonts w:ascii="Arial" w:hAnsi="Arial" w:cs="Arial"/>
          <w:sz w:val="22"/>
          <w:szCs w:val="22"/>
        </w:rPr>
        <w:t xml:space="preserve"> taking into consideration the risk of bias, inconsistency, imprecision, indirectness of the evidence and publication bias across each outcome</w:t>
      </w:r>
      <w:r>
        <w:rPr>
          <w:rFonts w:ascii="Arial" w:hAnsi="Arial" w:cs="Arial"/>
          <w:sz w:val="22"/>
          <w:szCs w:val="22"/>
        </w:rPr>
        <w:t xml:space="preserve"> </w:t>
      </w:r>
      <w:r w:rsidRPr="00F16A09">
        <w:rPr>
          <w:rFonts w:ascii="Arial" w:hAnsi="Arial" w:cs="Arial"/>
          <w:sz w:val="22"/>
          <w:szCs w:val="22"/>
        </w:rPr>
        <w:t xml:space="preserve">for each PI/ECO are </w:t>
      </w:r>
      <w:r>
        <w:rPr>
          <w:rFonts w:ascii="Arial" w:hAnsi="Arial" w:cs="Arial"/>
          <w:sz w:val="22"/>
          <w:szCs w:val="22"/>
        </w:rPr>
        <w:t xml:space="preserve">also </w:t>
      </w:r>
      <w:r w:rsidRPr="00F16A09">
        <w:rPr>
          <w:rFonts w:ascii="Arial" w:hAnsi="Arial" w:cs="Arial"/>
          <w:sz w:val="22"/>
          <w:szCs w:val="22"/>
        </w:rPr>
        <w:t xml:space="preserve">available in </w:t>
      </w:r>
      <w:r w:rsidR="00712F5F">
        <w:rPr>
          <w:rFonts w:ascii="Arial" w:eastAsia="Times New Roman" w:hAnsi="Arial" w:cs="Arial"/>
          <w:sz w:val="22"/>
          <w:szCs w:val="22"/>
          <w:lang w:eastAsia="en-AU"/>
        </w:rPr>
        <w:t>Web Annex Evidence Profiles</w:t>
      </w:r>
      <w:r w:rsidRPr="00F16A09">
        <w:rPr>
          <w:rFonts w:ascii="Arial" w:hAnsi="Arial" w:cs="Arial"/>
          <w:sz w:val="22"/>
          <w:szCs w:val="22"/>
        </w:rPr>
        <w:t xml:space="preserve"> (Tables B.2.a-e)</w:t>
      </w:r>
      <w:r>
        <w:rPr>
          <w:rFonts w:ascii="Arial" w:hAnsi="Arial" w:cs="Arial"/>
          <w:sz w:val="22"/>
          <w:szCs w:val="22"/>
        </w:rPr>
        <w:t xml:space="preserve"> of the WHO report </w:t>
      </w:r>
      <w:r w:rsidRPr="00050FA1">
        <w:rPr>
          <w:rFonts w:ascii="Arial" w:eastAsia="Times New Roman" w:hAnsi="Arial" w:cs="Arial"/>
          <w:sz w:val="22"/>
          <w:szCs w:val="22"/>
          <w:lang w:eastAsia="en-AU"/>
        </w:rPr>
        <w:fldChar w:fldCharType="begin"/>
      </w:r>
      <w:r w:rsidR="00712F5F">
        <w:rPr>
          <w:rFonts w:ascii="Arial" w:eastAsia="Times New Roman" w:hAnsi="Arial" w:cs="Arial"/>
          <w:sz w:val="22"/>
          <w:szCs w:val="22"/>
          <w:lang w:eastAsia="en-AU"/>
        </w:rPr>
        <w:instrText xml:space="preserve"> ADDIN EN.CITE &lt;EndNote&gt;&lt;Cite&gt;&lt;Author&gt;Bull&lt;/Author&gt;&lt;Year&gt;2020&lt;/Year&gt;&lt;RecNum&gt;8709&lt;/RecNum&gt;&lt;DisplayText&gt;(3)&lt;/DisplayText&gt;&lt;record&gt;&lt;rec-number&gt;8709&lt;/rec-number&gt;&lt;foreign-keys&gt;&lt;key app="EN" db-id="fewa00r24xt2teex5xppe5zgv9pd95p59pav" timestamp="1597584815"&gt;8709&lt;/key&gt;&lt;/foreign-keys&gt;&lt;ref-type name="Report"&gt;27&lt;/ref-type&gt;&lt;contributors&gt;&lt;authors&gt;&lt;author&gt;Bull, F.&lt;/author&gt;&lt;author&gt;Willumsen, J.&lt;/author&gt;&lt;/authors&gt;&lt;/contributors&gt;&lt;titles&gt;&lt;title&gt;World Health Organization. Guidelines on physical activity and sedentary behaviour&lt;/title&gt;&lt;/titles&gt;&lt;dates&gt;&lt;year&gt;2020&lt;/year&gt;&lt;/dates&gt;&lt;publisher&gt;World Health Organization: Geneva, Switzerland&lt;/publisher&gt;&lt;urls&gt;&lt;/urls&gt;&lt;/record&gt;&lt;/Cite&gt;&lt;/EndNote&gt;</w:instrText>
      </w:r>
      <w:r w:rsidRPr="00050FA1">
        <w:rPr>
          <w:rFonts w:ascii="Arial" w:eastAsia="Times New Roman" w:hAnsi="Arial" w:cs="Arial"/>
          <w:sz w:val="22"/>
          <w:szCs w:val="22"/>
          <w:lang w:eastAsia="en-AU"/>
        </w:rPr>
        <w:fldChar w:fldCharType="separate"/>
      </w:r>
      <w:r>
        <w:rPr>
          <w:rFonts w:ascii="Arial" w:eastAsia="Times New Roman" w:hAnsi="Arial" w:cs="Arial"/>
          <w:noProof/>
          <w:sz w:val="22"/>
          <w:szCs w:val="22"/>
          <w:lang w:eastAsia="en-AU"/>
        </w:rPr>
        <w:t>(3)</w:t>
      </w:r>
      <w:r w:rsidRPr="00050FA1">
        <w:rPr>
          <w:rFonts w:ascii="Arial" w:eastAsia="Times New Roman" w:hAnsi="Arial" w:cs="Arial"/>
          <w:sz w:val="22"/>
          <w:szCs w:val="22"/>
          <w:lang w:eastAsia="en-AU"/>
        </w:rPr>
        <w:fldChar w:fldCharType="end"/>
      </w:r>
      <w:r w:rsidRPr="00F16A09">
        <w:rPr>
          <w:rFonts w:ascii="Arial" w:hAnsi="Arial" w:cs="Arial"/>
          <w:sz w:val="22"/>
          <w:szCs w:val="22"/>
        </w:rPr>
        <w:t xml:space="preserve">. </w:t>
      </w:r>
    </w:p>
    <w:p w14:paraId="02410837" w14:textId="77777777" w:rsidR="00F16A09" w:rsidRDefault="00F16A09" w:rsidP="00712F5F">
      <w:pPr>
        <w:ind w:left="426" w:hanging="426"/>
        <w:rPr>
          <w:rFonts w:ascii="Arial" w:hAnsi="Arial" w:cs="Arial"/>
          <w:sz w:val="22"/>
          <w:szCs w:val="22"/>
          <w:highlight w:val="yellow"/>
        </w:rPr>
      </w:pPr>
    </w:p>
    <w:p w14:paraId="52BA5334" w14:textId="77777777" w:rsidR="00712F5F" w:rsidRPr="00712F5F" w:rsidRDefault="00F16A09" w:rsidP="00712F5F">
      <w:pPr>
        <w:pStyle w:val="EndNoteBibliography"/>
        <w:spacing w:after="0"/>
        <w:ind w:left="426" w:hanging="426"/>
      </w:pPr>
      <w:r>
        <w:rPr>
          <w:szCs w:val="22"/>
        </w:rPr>
        <w:fldChar w:fldCharType="begin"/>
      </w:r>
      <w:r>
        <w:rPr>
          <w:szCs w:val="22"/>
        </w:rPr>
        <w:instrText xml:space="preserve"> ADDIN EN.REFLIST </w:instrText>
      </w:r>
      <w:r>
        <w:rPr>
          <w:szCs w:val="22"/>
        </w:rPr>
        <w:fldChar w:fldCharType="separate"/>
      </w:r>
      <w:r w:rsidR="00712F5F" w:rsidRPr="00712F5F">
        <w:t>1.</w:t>
      </w:r>
      <w:r w:rsidR="00712F5F" w:rsidRPr="00712F5F">
        <w:tab/>
        <w:t>Guyatt GH, Oxman AD, Vist GE, Kunz R, Falck-Ytter Y, Alonso-Coello P, et al. GRADE: an emerging consensus on rating quality of evidence and strength of recommendations. BMJ. 2008;336(7650):924-6.</w:t>
      </w:r>
    </w:p>
    <w:p w14:paraId="48E63F02" w14:textId="77777777" w:rsidR="00712F5F" w:rsidRPr="00712F5F" w:rsidRDefault="00712F5F" w:rsidP="00712F5F">
      <w:pPr>
        <w:pStyle w:val="EndNoteBibliography"/>
        <w:spacing w:after="0"/>
        <w:ind w:left="426" w:hanging="426"/>
      </w:pPr>
      <w:r w:rsidRPr="00712F5F">
        <w:t>2.</w:t>
      </w:r>
      <w:r w:rsidRPr="00712F5F">
        <w:tab/>
        <w:t>Balshem H, Helfand M, Schunemann HJ, Oxman AD, Kunz R, Brozek J, et al. GRADE guidelines: 3. Rating the quality of evidence. Journal of clinical epidemiology. 2011;64(4):401-6.</w:t>
      </w:r>
    </w:p>
    <w:p w14:paraId="309E0A27" w14:textId="77777777" w:rsidR="00712F5F" w:rsidRPr="00712F5F" w:rsidRDefault="00712F5F" w:rsidP="00712F5F">
      <w:pPr>
        <w:pStyle w:val="EndNoteBibliography"/>
        <w:ind w:left="426" w:hanging="426"/>
      </w:pPr>
      <w:r w:rsidRPr="00712F5F">
        <w:t>3.</w:t>
      </w:r>
      <w:r w:rsidRPr="00712F5F">
        <w:tab/>
        <w:t>Bull F, Willumsen J. World Health Organization. Guidelines on physical activity and sedentary behaviour. World Health Organization: Geneva, Switzerland; 2020.</w:t>
      </w:r>
    </w:p>
    <w:p w14:paraId="544E251A" w14:textId="1AA46AB3" w:rsidR="001937E8" w:rsidRPr="001937E8" w:rsidRDefault="00F16A09" w:rsidP="00712F5F">
      <w:pPr>
        <w:ind w:left="426" w:hanging="426"/>
        <w:rPr>
          <w:rFonts w:ascii="Arial" w:hAnsi="Arial" w:cs="Arial"/>
          <w:sz w:val="22"/>
          <w:szCs w:val="22"/>
        </w:rPr>
      </w:pPr>
      <w:r>
        <w:rPr>
          <w:rFonts w:ascii="Arial" w:hAnsi="Arial" w:cs="Arial"/>
          <w:sz w:val="22"/>
          <w:szCs w:val="22"/>
        </w:rPr>
        <w:fldChar w:fldCharType="end"/>
      </w:r>
    </w:p>
    <w:sectPr w:rsidR="001937E8" w:rsidRPr="00193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wa00r24xt2teex5xppe5zgv9pd95p59pav&quot;&gt;PABE Endnote Library-Saved&lt;record-ids&gt;&lt;item&gt;8595&lt;/item&gt;&lt;item&gt;8596&lt;/item&gt;&lt;item&gt;8709&lt;/item&gt;&lt;/record-ids&gt;&lt;/item&gt;&lt;/Libraries&gt;"/>
  </w:docVars>
  <w:rsids>
    <w:rsidRoot w:val="00940A62"/>
    <w:rsid w:val="00012168"/>
    <w:rsid w:val="001937E8"/>
    <w:rsid w:val="00532CF6"/>
    <w:rsid w:val="006360B3"/>
    <w:rsid w:val="00712F5F"/>
    <w:rsid w:val="007B114E"/>
    <w:rsid w:val="00940A62"/>
    <w:rsid w:val="00B30B6D"/>
    <w:rsid w:val="00B5778A"/>
    <w:rsid w:val="00C1379B"/>
    <w:rsid w:val="00EC03AB"/>
    <w:rsid w:val="00F16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28B1"/>
  <w15:chartTrackingRefBased/>
  <w15:docId w15:val="{FE810A12-FEB4-49E3-A4D6-39FD1A7B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A62"/>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940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62"/>
    <w:rPr>
      <w:rFonts w:ascii="Segoe UI" w:hAnsi="Segoe UI" w:cs="Segoe UI"/>
      <w:sz w:val="18"/>
      <w:szCs w:val="18"/>
    </w:rPr>
  </w:style>
  <w:style w:type="paragraph" w:customStyle="1" w:styleId="EndNoteBibliographyTitle">
    <w:name w:val="EndNote Bibliography Title"/>
    <w:basedOn w:val="Normal"/>
    <w:link w:val="EndNoteBibliographyTitleChar"/>
    <w:rsid w:val="00F16A09"/>
    <w:pPr>
      <w:spacing w:after="0"/>
      <w:jc w:val="center"/>
    </w:pPr>
    <w:rPr>
      <w:rFonts w:ascii="Arial" w:hAnsi="Arial" w:cs="Arial"/>
      <w:noProof/>
      <w:sz w:val="22"/>
      <w:lang w:val="en-US"/>
    </w:rPr>
  </w:style>
  <w:style w:type="character" w:customStyle="1" w:styleId="EndNoteBibliographyTitleChar">
    <w:name w:val="EndNote Bibliography Title Char"/>
    <w:basedOn w:val="DefaultParagraphFont"/>
    <w:link w:val="EndNoteBibliographyTitle"/>
    <w:rsid w:val="00F16A09"/>
    <w:rPr>
      <w:rFonts w:ascii="Arial" w:hAnsi="Arial" w:cs="Arial"/>
      <w:noProof/>
      <w:sz w:val="22"/>
      <w:lang w:val="en-US"/>
    </w:rPr>
  </w:style>
  <w:style w:type="paragraph" w:customStyle="1" w:styleId="EndNoteBibliography">
    <w:name w:val="EndNote Bibliography"/>
    <w:basedOn w:val="Normal"/>
    <w:link w:val="EndNoteBibliographyChar"/>
    <w:rsid w:val="00F16A09"/>
    <w:pPr>
      <w:spacing w:line="240" w:lineRule="auto"/>
    </w:pPr>
    <w:rPr>
      <w:rFonts w:ascii="Arial" w:hAnsi="Arial" w:cs="Arial"/>
      <w:noProof/>
      <w:sz w:val="22"/>
      <w:lang w:val="en-US"/>
    </w:rPr>
  </w:style>
  <w:style w:type="character" w:customStyle="1" w:styleId="EndNoteBibliographyChar">
    <w:name w:val="EndNote Bibliography Char"/>
    <w:basedOn w:val="DefaultParagraphFont"/>
    <w:link w:val="EndNoteBibliography"/>
    <w:rsid w:val="00F16A09"/>
    <w:rPr>
      <w:rFonts w:ascii="Arial" w:hAnsi="Arial" w:cs="Arial"/>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Dempsey</dc:creator>
  <cp:keywords/>
  <dc:description/>
  <cp:lastModifiedBy>Paddy Dempsey</cp:lastModifiedBy>
  <cp:revision>6</cp:revision>
  <dcterms:created xsi:type="dcterms:W3CDTF">2020-09-10T23:21:00Z</dcterms:created>
  <dcterms:modified xsi:type="dcterms:W3CDTF">2020-10-19T15:39:00Z</dcterms:modified>
</cp:coreProperties>
</file>