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5DCB" w14:textId="598AE4C5" w:rsidR="00DA0F47" w:rsidRPr="00452C41" w:rsidRDefault="00452C41" w:rsidP="00432427">
      <w:pPr>
        <w:jc w:val="center"/>
        <w:rPr>
          <w:b/>
          <w:sz w:val="20"/>
          <w:szCs w:val="20"/>
        </w:rPr>
      </w:pPr>
      <w:r w:rsidRPr="00452C41">
        <w:rPr>
          <w:b/>
          <w:sz w:val="20"/>
          <w:szCs w:val="20"/>
        </w:rPr>
        <w:t>Supplementary Content</w:t>
      </w:r>
    </w:p>
    <w:p w14:paraId="1F5FB661" w14:textId="10991FEA" w:rsidR="00DA0F47" w:rsidRPr="00452C41" w:rsidRDefault="00DA0F47" w:rsidP="00432427">
      <w:pPr>
        <w:jc w:val="center"/>
        <w:rPr>
          <w:b/>
          <w:sz w:val="20"/>
          <w:szCs w:val="20"/>
        </w:rPr>
      </w:pPr>
    </w:p>
    <w:p w14:paraId="1D3F1E74" w14:textId="77777777" w:rsidR="00432427" w:rsidRPr="00452C41" w:rsidRDefault="00432427" w:rsidP="00432427">
      <w:pPr>
        <w:rPr>
          <w:b/>
          <w:sz w:val="20"/>
          <w:szCs w:val="20"/>
        </w:rPr>
      </w:pPr>
    </w:p>
    <w:p w14:paraId="5486E4FF" w14:textId="764EA051" w:rsidR="00810F6A" w:rsidRPr="00452C41" w:rsidRDefault="00541DC4" w:rsidP="00370E50">
      <w:pPr>
        <w:pStyle w:val="ListParagraph"/>
        <w:numPr>
          <w:ilvl w:val="0"/>
          <w:numId w:val="3"/>
        </w:numPr>
        <w:spacing w:line="360" w:lineRule="auto"/>
        <w:rPr>
          <w:b/>
          <w:sz w:val="20"/>
          <w:szCs w:val="20"/>
        </w:rPr>
      </w:pPr>
      <w:r>
        <w:rPr>
          <w:b/>
          <w:sz w:val="20"/>
          <w:szCs w:val="20"/>
        </w:rPr>
        <w:t>Supplementary</w:t>
      </w:r>
      <w:r w:rsidR="00DA0F47" w:rsidRPr="00452C41">
        <w:rPr>
          <w:b/>
          <w:sz w:val="20"/>
          <w:szCs w:val="20"/>
        </w:rPr>
        <w:t xml:space="preserve"> </w:t>
      </w:r>
      <w:r w:rsidR="00432427" w:rsidRPr="00452C41">
        <w:rPr>
          <w:b/>
          <w:sz w:val="20"/>
          <w:szCs w:val="20"/>
        </w:rPr>
        <w:t>Methods</w:t>
      </w:r>
    </w:p>
    <w:p w14:paraId="354F6641" w14:textId="1762C6E3" w:rsidR="00810F6A" w:rsidRPr="00452C41" w:rsidRDefault="00541DC4" w:rsidP="00810F6A">
      <w:pPr>
        <w:pStyle w:val="ListParagraph"/>
        <w:numPr>
          <w:ilvl w:val="0"/>
          <w:numId w:val="3"/>
        </w:numPr>
        <w:spacing w:line="360" w:lineRule="auto"/>
        <w:rPr>
          <w:b/>
          <w:sz w:val="20"/>
          <w:szCs w:val="20"/>
        </w:rPr>
      </w:pPr>
      <w:r>
        <w:rPr>
          <w:b/>
          <w:sz w:val="20"/>
          <w:szCs w:val="20"/>
        </w:rPr>
        <w:t>Supplementary</w:t>
      </w:r>
      <w:r w:rsidR="00511A2F">
        <w:rPr>
          <w:b/>
          <w:sz w:val="20"/>
          <w:szCs w:val="20"/>
        </w:rPr>
        <w:t xml:space="preserve"> </w:t>
      </w:r>
      <w:r w:rsidR="00432427" w:rsidRPr="00452C41">
        <w:rPr>
          <w:b/>
          <w:sz w:val="20"/>
          <w:szCs w:val="20"/>
        </w:rPr>
        <w:t xml:space="preserve">Table 1. </w:t>
      </w:r>
      <w:r w:rsidR="005453B8" w:rsidRPr="00452C41">
        <w:rPr>
          <w:sz w:val="20"/>
          <w:szCs w:val="20"/>
        </w:rPr>
        <w:t>Aerobic Training Dose Modification G</w:t>
      </w:r>
      <w:r w:rsidR="00295FCD" w:rsidRPr="00452C41">
        <w:rPr>
          <w:sz w:val="20"/>
          <w:szCs w:val="20"/>
        </w:rPr>
        <w:t>uidelines</w:t>
      </w:r>
      <w:r w:rsidR="005453B8" w:rsidRPr="00452C41">
        <w:rPr>
          <w:sz w:val="20"/>
          <w:szCs w:val="20"/>
        </w:rPr>
        <w:t>.</w:t>
      </w:r>
    </w:p>
    <w:p w14:paraId="6A584A3D" w14:textId="5C2CA040" w:rsidR="00114BC1" w:rsidRDefault="00114BC1" w:rsidP="00997063">
      <w:pPr>
        <w:pStyle w:val="ListParagraph"/>
        <w:numPr>
          <w:ilvl w:val="0"/>
          <w:numId w:val="3"/>
        </w:numPr>
        <w:spacing w:line="360" w:lineRule="auto"/>
        <w:rPr>
          <w:b/>
          <w:sz w:val="20"/>
          <w:szCs w:val="20"/>
        </w:rPr>
      </w:pPr>
      <w:r>
        <w:rPr>
          <w:b/>
          <w:sz w:val="20"/>
          <w:szCs w:val="20"/>
        </w:rPr>
        <w:t xml:space="preserve">Supplementary Table 2. </w:t>
      </w:r>
      <w:r w:rsidRPr="00114BC1">
        <w:rPr>
          <w:bCs/>
          <w:sz w:val="20"/>
          <w:szCs w:val="20"/>
        </w:rPr>
        <w:t>Comparison of Exercise Treatment Modalities on Primary and Secondary End points</w:t>
      </w:r>
      <w:r w:rsidR="009F6590">
        <w:rPr>
          <w:bCs/>
          <w:sz w:val="20"/>
          <w:szCs w:val="20"/>
        </w:rPr>
        <w:t>.</w:t>
      </w:r>
    </w:p>
    <w:p w14:paraId="5D3C5BA6" w14:textId="2505CB63" w:rsidR="00997063" w:rsidRDefault="00997063" w:rsidP="00997063">
      <w:pPr>
        <w:pStyle w:val="ListParagraph"/>
        <w:numPr>
          <w:ilvl w:val="0"/>
          <w:numId w:val="3"/>
        </w:numPr>
        <w:spacing w:line="360" w:lineRule="auto"/>
        <w:rPr>
          <w:b/>
          <w:sz w:val="20"/>
          <w:szCs w:val="20"/>
        </w:rPr>
      </w:pPr>
      <w:r>
        <w:rPr>
          <w:b/>
          <w:sz w:val="20"/>
          <w:szCs w:val="20"/>
        </w:rPr>
        <w:t xml:space="preserve">Supplementary </w:t>
      </w:r>
      <w:r w:rsidRPr="00452C41">
        <w:rPr>
          <w:b/>
          <w:sz w:val="20"/>
          <w:szCs w:val="20"/>
        </w:rPr>
        <w:t xml:space="preserve">Table </w:t>
      </w:r>
      <w:r w:rsidR="00114BC1">
        <w:rPr>
          <w:b/>
          <w:sz w:val="20"/>
          <w:szCs w:val="20"/>
        </w:rPr>
        <w:t>3</w:t>
      </w:r>
      <w:r w:rsidRPr="00452C41">
        <w:rPr>
          <w:b/>
          <w:sz w:val="20"/>
          <w:szCs w:val="20"/>
        </w:rPr>
        <w:t>.</w:t>
      </w:r>
      <w:r>
        <w:rPr>
          <w:b/>
          <w:sz w:val="20"/>
          <w:szCs w:val="20"/>
        </w:rPr>
        <w:t xml:space="preserve"> </w:t>
      </w:r>
      <w:r>
        <w:rPr>
          <w:bCs/>
          <w:sz w:val="20"/>
          <w:szCs w:val="20"/>
        </w:rPr>
        <w:t>Reasons for Exercise Dose Modifications.</w:t>
      </w:r>
    </w:p>
    <w:p w14:paraId="5AEA26BC" w14:textId="2C8C0281" w:rsidR="00810F6A" w:rsidRPr="00997063" w:rsidRDefault="00541DC4" w:rsidP="00370E50">
      <w:pPr>
        <w:pStyle w:val="ListParagraph"/>
        <w:numPr>
          <w:ilvl w:val="0"/>
          <w:numId w:val="3"/>
        </w:numPr>
        <w:spacing w:line="360" w:lineRule="auto"/>
        <w:rPr>
          <w:sz w:val="20"/>
          <w:szCs w:val="20"/>
        </w:rPr>
      </w:pPr>
      <w:r>
        <w:rPr>
          <w:b/>
          <w:sz w:val="20"/>
          <w:szCs w:val="20"/>
        </w:rPr>
        <w:t>Supplementary</w:t>
      </w:r>
      <w:r w:rsidR="00511A2F">
        <w:rPr>
          <w:b/>
          <w:sz w:val="20"/>
          <w:szCs w:val="20"/>
        </w:rPr>
        <w:t xml:space="preserve"> </w:t>
      </w:r>
      <w:r w:rsidR="00432427" w:rsidRPr="00452C41">
        <w:rPr>
          <w:b/>
          <w:sz w:val="20"/>
          <w:szCs w:val="20"/>
        </w:rPr>
        <w:t xml:space="preserve">Table </w:t>
      </w:r>
      <w:r w:rsidR="00114BC1">
        <w:rPr>
          <w:b/>
          <w:sz w:val="20"/>
          <w:szCs w:val="20"/>
        </w:rPr>
        <w:t>4</w:t>
      </w:r>
      <w:r w:rsidR="00432427" w:rsidRPr="00452C41">
        <w:rPr>
          <w:b/>
          <w:sz w:val="20"/>
          <w:szCs w:val="20"/>
        </w:rPr>
        <w:t xml:space="preserve">. </w:t>
      </w:r>
      <w:r w:rsidR="00F501ED" w:rsidRPr="00452C41">
        <w:rPr>
          <w:sz w:val="20"/>
          <w:szCs w:val="20"/>
        </w:rPr>
        <w:t>Adverse Events</w:t>
      </w:r>
      <w:r w:rsidR="00416B53" w:rsidRPr="00452C41">
        <w:rPr>
          <w:sz w:val="20"/>
          <w:szCs w:val="20"/>
        </w:rPr>
        <w:t>.</w:t>
      </w:r>
    </w:p>
    <w:p w14:paraId="471CCA5A" w14:textId="16E4A6B7" w:rsidR="0011678D" w:rsidRDefault="00541DC4" w:rsidP="002957F7">
      <w:pPr>
        <w:pStyle w:val="ListParagraph"/>
        <w:numPr>
          <w:ilvl w:val="0"/>
          <w:numId w:val="3"/>
        </w:numPr>
        <w:spacing w:line="360" w:lineRule="auto"/>
        <w:rPr>
          <w:sz w:val="20"/>
          <w:szCs w:val="20"/>
        </w:rPr>
      </w:pPr>
      <w:r>
        <w:rPr>
          <w:b/>
          <w:sz w:val="20"/>
          <w:szCs w:val="20"/>
        </w:rPr>
        <w:t>Supplementary</w:t>
      </w:r>
      <w:r w:rsidR="00511A2F">
        <w:rPr>
          <w:b/>
          <w:sz w:val="20"/>
          <w:szCs w:val="20"/>
        </w:rPr>
        <w:t xml:space="preserve"> </w:t>
      </w:r>
      <w:r w:rsidR="00AB3F7F" w:rsidRPr="00452C41">
        <w:rPr>
          <w:b/>
          <w:sz w:val="20"/>
          <w:szCs w:val="20"/>
        </w:rPr>
        <w:t xml:space="preserve">Figure 1. </w:t>
      </w:r>
      <w:r w:rsidR="00416B53" w:rsidRPr="00452C41">
        <w:rPr>
          <w:sz w:val="20"/>
          <w:szCs w:val="20"/>
        </w:rPr>
        <w:t>Comparison of</w:t>
      </w:r>
      <w:r w:rsidR="00416B53" w:rsidRPr="00452C41">
        <w:rPr>
          <w:b/>
          <w:sz w:val="20"/>
          <w:szCs w:val="20"/>
        </w:rPr>
        <w:t xml:space="preserve"> </w:t>
      </w:r>
      <w:r w:rsidR="00AB3F7F" w:rsidRPr="00452C41">
        <w:rPr>
          <w:sz w:val="20"/>
          <w:szCs w:val="20"/>
        </w:rPr>
        <w:t>VO</w:t>
      </w:r>
      <w:r w:rsidR="00AB3F7F" w:rsidRPr="00452C41">
        <w:rPr>
          <w:sz w:val="20"/>
          <w:szCs w:val="20"/>
          <w:vertAlign w:val="subscript"/>
        </w:rPr>
        <w:t>2</w:t>
      </w:r>
      <w:r w:rsidR="00416B53" w:rsidRPr="00452C41">
        <w:rPr>
          <w:sz w:val="20"/>
          <w:szCs w:val="20"/>
        </w:rPr>
        <w:t>peak Between the Two Cardiopulmonary Exercise Tests Conducted at Pre-Randomization.</w:t>
      </w:r>
    </w:p>
    <w:p w14:paraId="5CDC7A8B" w14:textId="397D824E" w:rsidR="00C43AC3" w:rsidRPr="00452C41" w:rsidRDefault="00C43AC3" w:rsidP="002957F7">
      <w:pPr>
        <w:pStyle w:val="ListParagraph"/>
        <w:numPr>
          <w:ilvl w:val="0"/>
          <w:numId w:val="3"/>
        </w:numPr>
        <w:spacing w:line="360" w:lineRule="auto"/>
        <w:rPr>
          <w:sz w:val="20"/>
          <w:szCs w:val="20"/>
        </w:rPr>
      </w:pPr>
      <w:r>
        <w:rPr>
          <w:b/>
          <w:sz w:val="20"/>
          <w:szCs w:val="20"/>
        </w:rPr>
        <w:t>Supplementary References.</w:t>
      </w:r>
    </w:p>
    <w:p w14:paraId="5DEB5B60" w14:textId="77777777" w:rsidR="00AD3F85" w:rsidRPr="00452C41" w:rsidRDefault="00AD3F85" w:rsidP="00064E75">
      <w:pPr>
        <w:spacing w:after="120"/>
        <w:rPr>
          <w:b/>
          <w:bCs/>
          <w:sz w:val="20"/>
          <w:szCs w:val="20"/>
        </w:rPr>
      </w:pPr>
    </w:p>
    <w:p w14:paraId="291D64BE" w14:textId="77777777" w:rsidR="00BA09BD" w:rsidRPr="00452C41" w:rsidRDefault="00BA09BD" w:rsidP="00064E75">
      <w:pPr>
        <w:spacing w:after="120" w:line="360" w:lineRule="auto"/>
        <w:rPr>
          <w:sz w:val="20"/>
          <w:szCs w:val="20"/>
        </w:rPr>
      </w:pPr>
      <w:r w:rsidRPr="00452C41">
        <w:rPr>
          <w:b/>
          <w:sz w:val="22"/>
          <w:szCs w:val="22"/>
        </w:rPr>
        <w:br w:type="page"/>
      </w:r>
    </w:p>
    <w:p w14:paraId="67AE91F5" w14:textId="79B5BE8B" w:rsidR="00BA09BD" w:rsidRPr="00452C41" w:rsidRDefault="00541DC4" w:rsidP="00203B50">
      <w:pPr>
        <w:jc w:val="both"/>
        <w:rPr>
          <w:b/>
          <w:sz w:val="20"/>
          <w:szCs w:val="20"/>
        </w:rPr>
      </w:pPr>
      <w:r>
        <w:rPr>
          <w:b/>
          <w:sz w:val="20"/>
          <w:szCs w:val="20"/>
        </w:rPr>
        <w:lastRenderedPageBreak/>
        <w:t xml:space="preserve">Supplementary </w:t>
      </w:r>
      <w:r w:rsidR="00BA09BD" w:rsidRPr="00452C41">
        <w:rPr>
          <w:b/>
          <w:sz w:val="20"/>
          <w:szCs w:val="20"/>
        </w:rPr>
        <w:t>Methods</w:t>
      </w:r>
    </w:p>
    <w:p w14:paraId="597A3F27" w14:textId="44D890CF" w:rsidR="009D465D" w:rsidRPr="00452C41" w:rsidRDefault="009D465D" w:rsidP="00203B50">
      <w:pPr>
        <w:jc w:val="both"/>
        <w:rPr>
          <w:b/>
          <w:sz w:val="20"/>
          <w:szCs w:val="20"/>
        </w:rPr>
      </w:pPr>
    </w:p>
    <w:p w14:paraId="504C51E6" w14:textId="77777777" w:rsidR="00281325" w:rsidRPr="00452C41" w:rsidRDefault="00281325" w:rsidP="00203B50">
      <w:pPr>
        <w:jc w:val="both"/>
        <w:outlineLvl w:val="0"/>
        <w:rPr>
          <w:b/>
          <w:bCs/>
          <w:sz w:val="20"/>
          <w:szCs w:val="20"/>
        </w:rPr>
      </w:pPr>
      <w:r w:rsidRPr="00452C41">
        <w:rPr>
          <w:b/>
          <w:bCs/>
          <w:sz w:val="20"/>
          <w:szCs w:val="20"/>
        </w:rPr>
        <w:t>Patients and Setting</w:t>
      </w:r>
    </w:p>
    <w:p w14:paraId="1AEEBD59" w14:textId="79DDCBBF" w:rsidR="00281325" w:rsidRPr="00452C41" w:rsidRDefault="00281325" w:rsidP="00203B50">
      <w:pPr>
        <w:ind w:firstLine="720"/>
        <w:jc w:val="both"/>
        <w:outlineLvl w:val="0"/>
        <w:rPr>
          <w:sz w:val="20"/>
          <w:szCs w:val="20"/>
        </w:rPr>
      </w:pPr>
      <w:r w:rsidRPr="00452C41">
        <w:rPr>
          <w:sz w:val="20"/>
          <w:szCs w:val="20"/>
        </w:rPr>
        <w:t xml:space="preserve">We conducted a </w:t>
      </w:r>
      <w:r w:rsidR="000A55E9" w:rsidRPr="00452C41">
        <w:rPr>
          <w:sz w:val="20"/>
          <w:szCs w:val="20"/>
        </w:rPr>
        <w:t xml:space="preserve">randomized controlled trial (RCT) </w:t>
      </w:r>
      <w:r w:rsidR="008847CF" w:rsidRPr="00452C41">
        <w:rPr>
          <w:sz w:val="20"/>
          <w:szCs w:val="20"/>
        </w:rPr>
        <w:t xml:space="preserve">in patients with </w:t>
      </w:r>
      <w:r w:rsidR="000A55E9" w:rsidRPr="00452C41">
        <w:rPr>
          <w:sz w:val="20"/>
          <w:szCs w:val="20"/>
        </w:rPr>
        <w:t xml:space="preserve">post-treatment primary </w:t>
      </w:r>
      <w:r w:rsidR="008847CF" w:rsidRPr="00452C41">
        <w:rPr>
          <w:sz w:val="20"/>
          <w:szCs w:val="20"/>
        </w:rPr>
        <w:t xml:space="preserve">lung cancer </w:t>
      </w:r>
      <w:r w:rsidRPr="00452C41">
        <w:rPr>
          <w:sz w:val="20"/>
          <w:szCs w:val="20"/>
        </w:rPr>
        <w:t xml:space="preserve">at </w:t>
      </w:r>
      <w:r w:rsidR="00546155" w:rsidRPr="00452C41">
        <w:rPr>
          <w:sz w:val="20"/>
          <w:szCs w:val="20"/>
        </w:rPr>
        <w:t xml:space="preserve">Duke University Medical Center (DUMC) and </w:t>
      </w:r>
      <w:r w:rsidRPr="00452C41">
        <w:rPr>
          <w:sz w:val="20"/>
          <w:szCs w:val="20"/>
        </w:rPr>
        <w:t>Memorial Sloan Kettering Cancer Center (MSK)</w:t>
      </w:r>
      <w:r w:rsidR="00546155" w:rsidRPr="00452C41">
        <w:rPr>
          <w:sz w:val="20"/>
          <w:szCs w:val="20"/>
        </w:rPr>
        <w:t xml:space="preserve">. </w:t>
      </w:r>
      <w:r w:rsidR="004E6667" w:rsidRPr="00452C41">
        <w:rPr>
          <w:sz w:val="20"/>
          <w:szCs w:val="20"/>
        </w:rPr>
        <w:t xml:space="preserve">The study was conducted at </w:t>
      </w:r>
      <w:r w:rsidR="000A55E9" w:rsidRPr="00452C41">
        <w:rPr>
          <w:sz w:val="20"/>
          <w:szCs w:val="20"/>
        </w:rPr>
        <w:t>DUMC</w:t>
      </w:r>
      <w:r w:rsidR="00203B50" w:rsidRPr="00452C41">
        <w:rPr>
          <w:sz w:val="20"/>
          <w:szCs w:val="20"/>
        </w:rPr>
        <w:t xml:space="preserve"> </w:t>
      </w:r>
      <w:r w:rsidR="004E6667" w:rsidRPr="00452C41">
        <w:rPr>
          <w:sz w:val="20"/>
          <w:szCs w:val="20"/>
        </w:rPr>
        <w:t xml:space="preserve">between </w:t>
      </w:r>
      <w:r w:rsidR="00712E4D" w:rsidRPr="00452C41">
        <w:rPr>
          <w:sz w:val="20"/>
          <w:szCs w:val="20"/>
        </w:rPr>
        <w:t xml:space="preserve">February, 2010 </w:t>
      </w:r>
      <w:r w:rsidR="004E6667" w:rsidRPr="00452C41">
        <w:rPr>
          <w:sz w:val="20"/>
          <w:szCs w:val="20"/>
        </w:rPr>
        <w:t xml:space="preserve">and </w:t>
      </w:r>
      <w:r w:rsidR="00712E4D" w:rsidRPr="00452C41">
        <w:rPr>
          <w:sz w:val="20"/>
          <w:szCs w:val="20"/>
        </w:rPr>
        <w:t>May, 2013</w:t>
      </w:r>
      <w:r w:rsidR="004E6667" w:rsidRPr="00452C41">
        <w:rPr>
          <w:sz w:val="20"/>
          <w:szCs w:val="20"/>
        </w:rPr>
        <w:t xml:space="preserve">, continuing at </w:t>
      </w:r>
      <w:r w:rsidR="000A55E9" w:rsidRPr="00452C41">
        <w:rPr>
          <w:sz w:val="20"/>
          <w:szCs w:val="20"/>
        </w:rPr>
        <w:t>MSK</w:t>
      </w:r>
      <w:r w:rsidR="004E6667" w:rsidRPr="00452C41">
        <w:rPr>
          <w:sz w:val="20"/>
          <w:szCs w:val="20"/>
        </w:rPr>
        <w:t xml:space="preserve"> from </w:t>
      </w:r>
      <w:r w:rsidR="008847CF" w:rsidRPr="00452C41">
        <w:rPr>
          <w:sz w:val="20"/>
          <w:szCs w:val="20"/>
        </w:rPr>
        <w:t xml:space="preserve">April, 2017 to </w:t>
      </w:r>
      <w:r w:rsidR="00712E4D" w:rsidRPr="00452C41">
        <w:rPr>
          <w:sz w:val="20"/>
          <w:szCs w:val="20"/>
        </w:rPr>
        <w:t>March</w:t>
      </w:r>
      <w:r w:rsidR="008847CF" w:rsidRPr="00452C41">
        <w:rPr>
          <w:sz w:val="20"/>
          <w:szCs w:val="20"/>
        </w:rPr>
        <w:t xml:space="preserve">, 2018 (for a total accrual period of </w:t>
      </w:r>
      <w:r w:rsidR="00712E4D" w:rsidRPr="00452C41">
        <w:rPr>
          <w:sz w:val="20"/>
          <w:szCs w:val="20"/>
        </w:rPr>
        <w:t xml:space="preserve">4.3 </w:t>
      </w:r>
      <w:r w:rsidR="008847CF" w:rsidRPr="00452C41">
        <w:rPr>
          <w:sz w:val="20"/>
          <w:szCs w:val="20"/>
        </w:rPr>
        <w:t>years), with final post-intervention testing conducted in July, 2018</w:t>
      </w:r>
      <w:r w:rsidR="004E6667" w:rsidRPr="00452C41">
        <w:rPr>
          <w:sz w:val="20"/>
          <w:szCs w:val="20"/>
        </w:rPr>
        <w:t xml:space="preserve">. </w:t>
      </w:r>
      <w:r w:rsidR="00416B53" w:rsidRPr="00452C41">
        <w:rPr>
          <w:sz w:val="20"/>
          <w:szCs w:val="20"/>
        </w:rPr>
        <w:t xml:space="preserve">The reason for the disruption in trial conduct was due to the principal investigator (LWJ) leaving DUMC to join MSK in February, 2014. </w:t>
      </w:r>
      <w:r w:rsidRPr="00452C41">
        <w:rPr>
          <w:sz w:val="20"/>
          <w:szCs w:val="20"/>
        </w:rPr>
        <w:t xml:space="preserve">Other major eligibility criteria were: (1) </w:t>
      </w:r>
      <w:r w:rsidR="000F11A1" w:rsidRPr="00452C41">
        <w:rPr>
          <w:sz w:val="20"/>
          <w:szCs w:val="20"/>
        </w:rPr>
        <w:t>≥ 1 year to &lt;10 years after completion of all definitive therapy (i.e., surgery and adjuvant radiation or chemotherapy, as applicable)</w:t>
      </w:r>
      <w:r w:rsidRPr="00452C41">
        <w:rPr>
          <w:sz w:val="20"/>
          <w:szCs w:val="20"/>
        </w:rPr>
        <w:t xml:space="preserve">, (2) </w:t>
      </w:r>
      <w:r w:rsidR="000A55E9" w:rsidRPr="00452C41">
        <w:rPr>
          <w:sz w:val="20"/>
          <w:szCs w:val="20"/>
        </w:rPr>
        <w:t>cardiorespiratory fitness</w:t>
      </w:r>
      <w:r w:rsidR="00CF6AAE" w:rsidRPr="00452C41">
        <w:rPr>
          <w:sz w:val="20"/>
          <w:szCs w:val="20"/>
        </w:rPr>
        <w:t xml:space="preserve"> (peak oxygen consumption (VO</w:t>
      </w:r>
      <w:r w:rsidR="00CF6AAE" w:rsidRPr="00452C41">
        <w:rPr>
          <w:sz w:val="20"/>
          <w:szCs w:val="20"/>
          <w:vertAlign w:val="subscript"/>
        </w:rPr>
        <w:t>2</w:t>
      </w:r>
      <w:r w:rsidR="00CF6AAE" w:rsidRPr="00452C41">
        <w:rPr>
          <w:sz w:val="20"/>
          <w:szCs w:val="20"/>
        </w:rPr>
        <w:t xml:space="preserve">peak) below age-sex-matched </w:t>
      </w:r>
      <w:r w:rsidR="000A55E9" w:rsidRPr="00452C41">
        <w:rPr>
          <w:sz w:val="20"/>
          <w:szCs w:val="20"/>
        </w:rPr>
        <w:t xml:space="preserve">sedentary </w:t>
      </w:r>
      <w:r w:rsidR="00CF6AAE" w:rsidRPr="00452C41">
        <w:rPr>
          <w:sz w:val="20"/>
          <w:szCs w:val="20"/>
        </w:rPr>
        <w:t>normative levels</w:t>
      </w:r>
      <w:r w:rsidRPr="00452C41">
        <w:rPr>
          <w:sz w:val="20"/>
          <w:szCs w:val="20"/>
        </w:rPr>
        <w:t xml:space="preserve">, </w:t>
      </w:r>
      <w:r w:rsidR="00754651" w:rsidRPr="00452C41">
        <w:rPr>
          <w:sz w:val="20"/>
          <w:szCs w:val="20"/>
        </w:rPr>
        <w:t>(3</w:t>
      </w:r>
      <w:r w:rsidRPr="00452C41">
        <w:rPr>
          <w:sz w:val="20"/>
          <w:szCs w:val="20"/>
        </w:rPr>
        <w:t xml:space="preserve">) review and clearance of exercise electrocardiogram by </w:t>
      </w:r>
      <w:r w:rsidR="00CF6AAE" w:rsidRPr="00452C41">
        <w:rPr>
          <w:sz w:val="20"/>
          <w:szCs w:val="20"/>
        </w:rPr>
        <w:t xml:space="preserve">a </w:t>
      </w:r>
      <w:r w:rsidRPr="00452C41">
        <w:rPr>
          <w:sz w:val="20"/>
          <w:szCs w:val="20"/>
        </w:rPr>
        <w:t>cardiologist</w:t>
      </w:r>
      <w:r w:rsidR="000A55E9" w:rsidRPr="00452C41">
        <w:rPr>
          <w:sz w:val="20"/>
          <w:szCs w:val="20"/>
        </w:rPr>
        <w:t xml:space="preserve"> (AY)</w:t>
      </w:r>
      <w:r w:rsidR="0006502B">
        <w:rPr>
          <w:sz w:val="20"/>
          <w:szCs w:val="20"/>
        </w:rPr>
        <w:t>, (4) age 21-80, (5) ECOG &lt;1, (6) life expectancy &gt;4 months, (7) performing less than 150 minutes of structured moderate-intensity exercise per week</w:t>
      </w:r>
      <w:r w:rsidRPr="00452C41">
        <w:rPr>
          <w:sz w:val="20"/>
          <w:szCs w:val="20"/>
        </w:rPr>
        <w:t xml:space="preserve">. </w:t>
      </w:r>
      <w:r w:rsidRPr="00452C41">
        <w:rPr>
          <w:bCs/>
          <w:sz w:val="20"/>
          <w:szCs w:val="20"/>
        </w:rPr>
        <w:t xml:space="preserve">All study procedures were reviewed and approved by the </w:t>
      </w:r>
      <w:r w:rsidRPr="00452C41">
        <w:rPr>
          <w:sz w:val="20"/>
          <w:szCs w:val="20"/>
        </w:rPr>
        <w:t>institutional review boards. Participation in intervention groups continued for a maximum of</w:t>
      </w:r>
      <w:r w:rsidR="00203B50" w:rsidRPr="00452C41">
        <w:rPr>
          <w:sz w:val="20"/>
          <w:szCs w:val="20"/>
        </w:rPr>
        <w:t xml:space="preserve"> 16</w:t>
      </w:r>
      <w:r w:rsidR="000A55E9" w:rsidRPr="00452C41">
        <w:rPr>
          <w:sz w:val="20"/>
          <w:szCs w:val="20"/>
        </w:rPr>
        <w:t xml:space="preserve"> weeks</w:t>
      </w:r>
      <w:r w:rsidRPr="00452C41">
        <w:rPr>
          <w:sz w:val="20"/>
          <w:szCs w:val="20"/>
        </w:rPr>
        <w:t xml:space="preserve"> or until </w:t>
      </w:r>
      <w:r w:rsidR="00CF6AAE" w:rsidRPr="00452C41">
        <w:rPr>
          <w:sz w:val="20"/>
          <w:szCs w:val="20"/>
        </w:rPr>
        <w:t>withdrawal of consent</w:t>
      </w:r>
      <w:r w:rsidR="000A55E9" w:rsidRPr="00452C41">
        <w:rPr>
          <w:sz w:val="20"/>
          <w:szCs w:val="20"/>
        </w:rPr>
        <w:t>, whichever came first</w:t>
      </w:r>
      <w:r w:rsidRPr="00452C41">
        <w:rPr>
          <w:sz w:val="20"/>
          <w:szCs w:val="20"/>
        </w:rPr>
        <w:t>. </w:t>
      </w:r>
    </w:p>
    <w:p w14:paraId="1B1C32B6" w14:textId="77777777" w:rsidR="00243C2C" w:rsidRPr="00452C41" w:rsidRDefault="00243C2C" w:rsidP="00203B50">
      <w:pPr>
        <w:ind w:firstLine="720"/>
        <w:jc w:val="both"/>
        <w:outlineLvl w:val="0"/>
        <w:rPr>
          <w:sz w:val="20"/>
          <w:szCs w:val="20"/>
        </w:rPr>
      </w:pPr>
    </w:p>
    <w:p w14:paraId="53E2BC2C" w14:textId="77777777" w:rsidR="00281325" w:rsidRPr="00452C41" w:rsidRDefault="00281325" w:rsidP="00203B50">
      <w:pPr>
        <w:jc w:val="both"/>
        <w:outlineLvl w:val="0"/>
        <w:rPr>
          <w:b/>
          <w:sz w:val="20"/>
          <w:szCs w:val="20"/>
        </w:rPr>
      </w:pPr>
      <w:r w:rsidRPr="00452C41">
        <w:rPr>
          <w:b/>
          <w:sz w:val="20"/>
          <w:szCs w:val="20"/>
        </w:rPr>
        <w:t>Randomization and Blinding</w:t>
      </w:r>
    </w:p>
    <w:p w14:paraId="3C59D0B5" w14:textId="58669A0F" w:rsidR="00281325" w:rsidRPr="00452C41" w:rsidRDefault="00281325" w:rsidP="00203B50">
      <w:pPr>
        <w:ind w:firstLine="720"/>
        <w:jc w:val="both"/>
        <w:outlineLvl w:val="0"/>
        <w:rPr>
          <w:sz w:val="20"/>
          <w:szCs w:val="20"/>
        </w:rPr>
      </w:pPr>
      <w:r w:rsidRPr="00452C41">
        <w:rPr>
          <w:sz w:val="20"/>
          <w:szCs w:val="20"/>
        </w:rPr>
        <w:t xml:space="preserve">Following confirmation of eligibility, patients were randomly allocated </w:t>
      </w:r>
      <w:r w:rsidR="000F11A1" w:rsidRPr="00452C41">
        <w:rPr>
          <w:sz w:val="20"/>
          <w:szCs w:val="20"/>
        </w:rPr>
        <w:t xml:space="preserve">in a 1:1:1:1 ratio to receive either one of the three exercise regimens [aerobic training (AT), resistance training (RT), or combined training (CT)] </w:t>
      </w:r>
      <w:r w:rsidR="003B45B9" w:rsidRPr="00452C41">
        <w:rPr>
          <w:sz w:val="20"/>
          <w:szCs w:val="20"/>
        </w:rPr>
        <w:t>or attention-control</w:t>
      </w:r>
      <w:r w:rsidRPr="00452C41">
        <w:rPr>
          <w:sz w:val="20"/>
          <w:szCs w:val="20"/>
        </w:rPr>
        <w:t xml:space="preserve"> (</w:t>
      </w:r>
      <w:r w:rsidR="001F4718" w:rsidRPr="00452C41">
        <w:rPr>
          <w:sz w:val="20"/>
          <w:szCs w:val="20"/>
        </w:rPr>
        <w:t>AC</w:t>
      </w:r>
      <w:r w:rsidRPr="00452C41">
        <w:rPr>
          <w:sz w:val="20"/>
          <w:szCs w:val="20"/>
        </w:rPr>
        <w:t xml:space="preserve">). </w:t>
      </w:r>
      <w:r w:rsidR="000F11A1" w:rsidRPr="00452C41">
        <w:rPr>
          <w:sz w:val="20"/>
          <w:szCs w:val="20"/>
        </w:rPr>
        <w:t>The random allocation sequence was generated and implemented using REDCap with a random permuted block design. Two stratification factors were employed: (1) adjuvant treatment with chemotherapy (yes vs. no), and sex (male vs. female).</w:t>
      </w:r>
      <w:r w:rsidRPr="00452C41">
        <w:rPr>
          <w:color w:val="333333"/>
          <w:sz w:val="20"/>
          <w:szCs w:val="20"/>
          <w:shd w:val="clear" w:color="auto" w:fill="FFFFFF"/>
        </w:rPr>
        <w:t xml:space="preserve"> </w:t>
      </w:r>
      <w:bookmarkStart w:id="0" w:name="_Hlk68002323"/>
      <w:r w:rsidRPr="00452C41">
        <w:rPr>
          <w:sz w:val="20"/>
          <w:szCs w:val="20"/>
        </w:rPr>
        <w:t>Group allocation was concealed until treatment intervention was assigned. The trial primary statistician</w:t>
      </w:r>
      <w:r w:rsidR="00712E4D" w:rsidRPr="00452C41">
        <w:rPr>
          <w:sz w:val="20"/>
          <w:szCs w:val="20"/>
        </w:rPr>
        <w:t>s</w:t>
      </w:r>
      <w:r w:rsidRPr="00452C41">
        <w:rPr>
          <w:sz w:val="20"/>
          <w:szCs w:val="20"/>
        </w:rPr>
        <w:t xml:space="preserve"> (JH</w:t>
      </w:r>
      <w:r w:rsidR="00712E4D" w:rsidRPr="00452C41">
        <w:rPr>
          <w:sz w:val="20"/>
          <w:szCs w:val="20"/>
        </w:rPr>
        <w:t xml:space="preserve"> and SMT</w:t>
      </w:r>
      <w:r w:rsidRPr="00452C41">
        <w:rPr>
          <w:sz w:val="20"/>
          <w:szCs w:val="20"/>
        </w:rPr>
        <w:t xml:space="preserve">) generated the random sequence; dedicated study coordinators enrolled patients, and the clinical research </w:t>
      </w:r>
      <w:r w:rsidR="00316481" w:rsidRPr="00452C41">
        <w:rPr>
          <w:sz w:val="20"/>
          <w:szCs w:val="20"/>
        </w:rPr>
        <w:t>team</w:t>
      </w:r>
      <w:r w:rsidRPr="00452C41">
        <w:rPr>
          <w:sz w:val="20"/>
          <w:szCs w:val="20"/>
        </w:rPr>
        <w:t xml:space="preserve"> at each center assigned participants to treatment group. Exercise physiologists implementing the study interventions were not randomly allocated to </w:t>
      </w:r>
      <w:r w:rsidR="000A55E9" w:rsidRPr="00452C41">
        <w:rPr>
          <w:sz w:val="20"/>
          <w:szCs w:val="20"/>
        </w:rPr>
        <w:t>study treatment arms</w:t>
      </w:r>
      <w:r w:rsidRPr="00452C41">
        <w:rPr>
          <w:sz w:val="20"/>
          <w:szCs w:val="20"/>
        </w:rPr>
        <w:t>. Neither patients nor exercise physiologists were blinded to group allocation. Participants</w:t>
      </w:r>
      <w:r w:rsidR="00750E10" w:rsidRPr="00452C41">
        <w:rPr>
          <w:sz w:val="20"/>
          <w:szCs w:val="20"/>
        </w:rPr>
        <w:t xml:space="preserve"> and study investigators were blinded to results at </w:t>
      </w:r>
      <w:proofErr w:type="spellStart"/>
      <w:r w:rsidR="000A55E9" w:rsidRPr="00452C41">
        <w:rPr>
          <w:sz w:val="20"/>
          <w:szCs w:val="20"/>
        </w:rPr>
        <w:t>prerandomization</w:t>
      </w:r>
      <w:proofErr w:type="spellEnd"/>
      <w:r w:rsidR="000A55E9" w:rsidRPr="00452C41">
        <w:rPr>
          <w:sz w:val="20"/>
          <w:szCs w:val="20"/>
        </w:rPr>
        <w:t xml:space="preserve"> and postintervention</w:t>
      </w:r>
      <w:r w:rsidRPr="00452C41">
        <w:rPr>
          <w:sz w:val="20"/>
          <w:szCs w:val="20"/>
        </w:rPr>
        <w:t xml:space="preserve">. </w:t>
      </w:r>
      <w:r w:rsidR="000A55E9" w:rsidRPr="00452C41">
        <w:rPr>
          <w:sz w:val="20"/>
          <w:szCs w:val="20"/>
        </w:rPr>
        <w:t xml:space="preserve">Study </w:t>
      </w:r>
      <w:r w:rsidRPr="00452C41">
        <w:rPr>
          <w:sz w:val="20"/>
          <w:szCs w:val="20"/>
        </w:rPr>
        <w:t xml:space="preserve">investigators and statisticians were blinded to treatment allocation. </w:t>
      </w:r>
    </w:p>
    <w:bookmarkEnd w:id="0"/>
    <w:p w14:paraId="336DECA5" w14:textId="77777777" w:rsidR="00243C2C" w:rsidRPr="00452C41" w:rsidRDefault="00243C2C" w:rsidP="00203B50">
      <w:pPr>
        <w:ind w:firstLine="720"/>
        <w:jc w:val="both"/>
        <w:outlineLvl w:val="0"/>
        <w:rPr>
          <w:sz w:val="20"/>
          <w:szCs w:val="20"/>
        </w:rPr>
      </w:pPr>
    </w:p>
    <w:p w14:paraId="5CA878BC" w14:textId="7D514FC3" w:rsidR="00281325" w:rsidRPr="00452C41" w:rsidRDefault="00281325" w:rsidP="00203B50">
      <w:pPr>
        <w:jc w:val="both"/>
        <w:outlineLvl w:val="0"/>
        <w:rPr>
          <w:b/>
          <w:sz w:val="20"/>
          <w:szCs w:val="20"/>
        </w:rPr>
      </w:pPr>
      <w:r w:rsidRPr="00452C41">
        <w:rPr>
          <w:b/>
          <w:sz w:val="20"/>
          <w:szCs w:val="20"/>
        </w:rPr>
        <w:t xml:space="preserve">Study </w:t>
      </w:r>
      <w:r w:rsidR="00243C2C" w:rsidRPr="00452C41">
        <w:rPr>
          <w:b/>
          <w:sz w:val="20"/>
          <w:szCs w:val="20"/>
        </w:rPr>
        <w:t>Interventions</w:t>
      </w:r>
    </w:p>
    <w:p w14:paraId="462C9AFD" w14:textId="0352D998" w:rsidR="00281325" w:rsidRPr="00452C41" w:rsidRDefault="007E32DF" w:rsidP="00203B50">
      <w:pPr>
        <w:ind w:firstLine="720"/>
        <w:jc w:val="both"/>
        <w:outlineLvl w:val="0"/>
        <w:rPr>
          <w:sz w:val="20"/>
          <w:szCs w:val="20"/>
        </w:rPr>
      </w:pPr>
      <w:r w:rsidRPr="00452C41">
        <w:rPr>
          <w:sz w:val="20"/>
          <w:szCs w:val="20"/>
        </w:rPr>
        <w:t>All interventions were initiated ≤14 days post-randomization. T</w:t>
      </w:r>
      <w:r w:rsidR="00281325" w:rsidRPr="00452C41">
        <w:rPr>
          <w:sz w:val="20"/>
          <w:szCs w:val="20"/>
        </w:rPr>
        <w:t xml:space="preserve">reatment interventions were standardized between patients in each </w:t>
      </w:r>
      <w:r w:rsidR="00750E10" w:rsidRPr="00452C41">
        <w:rPr>
          <w:sz w:val="20"/>
          <w:szCs w:val="20"/>
        </w:rPr>
        <w:t>arm</w:t>
      </w:r>
      <w:r w:rsidR="00281325" w:rsidRPr="00452C41">
        <w:rPr>
          <w:sz w:val="20"/>
          <w:szCs w:val="20"/>
        </w:rPr>
        <w:t xml:space="preserve"> on the basis of modality, dose intensity, progression, and schedule. Interventions were also matched in terms of setting (clinic-based), monitoring (one-on-one monitoring/session), frequency (</w:t>
      </w:r>
      <w:r w:rsidR="000A55E9" w:rsidRPr="00452C41">
        <w:rPr>
          <w:sz w:val="20"/>
          <w:szCs w:val="20"/>
        </w:rPr>
        <w:t xml:space="preserve">three </w:t>
      </w:r>
      <w:r w:rsidRPr="00452C41">
        <w:rPr>
          <w:sz w:val="20"/>
          <w:szCs w:val="20"/>
        </w:rPr>
        <w:t>times</w:t>
      </w:r>
      <w:r w:rsidR="00281325" w:rsidRPr="00452C41">
        <w:rPr>
          <w:sz w:val="20"/>
          <w:szCs w:val="20"/>
        </w:rPr>
        <w:t xml:space="preserve"> weekly), duration (20 to </w:t>
      </w:r>
      <w:r w:rsidR="000A55E9" w:rsidRPr="00452C41">
        <w:rPr>
          <w:sz w:val="20"/>
          <w:szCs w:val="20"/>
        </w:rPr>
        <w:t xml:space="preserve">60 </w:t>
      </w:r>
      <w:r w:rsidR="00281325" w:rsidRPr="00452C41">
        <w:rPr>
          <w:sz w:val="20"/>
          <w:szCs w:val="20"/>
        </w:rPr>
        <w:t>mins/session), and length (1</w:t>
      </w:r>
      <w:r w:rsidRPr="00452C41">
        <w:rPr>
          <w:sz w:val="20"/>
          <w:szCs w:val="20"/>
        </w:rPr>
        <w:t>6</w:t>
      </w:r>
      <w:r w:rsidR="00281325" w:rsidRPr="00452C41">
        <w:rPr>
          <w:sz w:val="20"/>
          <w:szCs w:val="20"/>
        </w:rPr>
        <w:t xml:space="preserve"> weeks). </w:t>
      </w:r>
      <w:r w:rsidR="00C15623" w:rsidRPr="00452C41">
        <w:rPr>
          <w:sz w:val="20"/>
          <w:szCs w:val="20"/>
        </w:rPr>
        <w:t xml:space="preserve">All exercise treatment regimens were specifically designed to improve CRF. </w:t>
      </w:r>
      <w:bookmarkStart w:id="1" w:name="_Hlk68002692"/>
      <w:r w:rsidR="00281325" w:rsidRPr="00452C41">
        <w:rPr>
          <w:sz w:val="20"/>
          <w:szCs w:val="20"/>
        </w:rPr>
        <w:t>Dedicated study personnel with</w:t>
      </w:r>
      <w:r w:rsidR="008C6E4E" w:rsidRPr="00452C41">
        <w:rPr>
          <w:sz w:val="20"/>
          <w:szCs w:val="20"/>
        </w:rPr>
        <w:t xml:space="preserve"> at least</w:t>
      </w:r>
      <w:r w:rsidR="00281325" w:rsidRPr="00452C41">
        <w:rPr>
          <w:sz w:val="20"/>
          <w:szCs w:val="20"/>
        </w:rPr>
        <w:t xml:space="preserve"> Bachelor’s degrees in Exercise Science implemented the interventions and individually monitored all sessions. No informational material was provided to study participants. All intervention sessions were conducted </w:t>
      </w:r>
      <w:bookmarkStart w:id="2" w:name="_Hlk68002663"/>
      <w:r w:rsidR="00281325" w:rsidRPr="00452C41">
        <w:rPr>
          <w:sz w:val="20"/>
          <w:szCs w:val="20"/>
        </w:rPr>
        <w:t xml:space="preserve">in a dedicated exercise training facility </w:t>
      </w:r>
      <w:bookmarkEnd w:id="2"/>
      <w:r w:rsidR="00281325" w:rsidRPr="00452C41">
        <w:rPr>
          <w:sz w:val="20"/>
          <w:szCs w:val="20"/>
        </w:rPr>
        <w:t xml:space="preserve">at both institutions. </w:t>
      </w:r>
      <w:bookmarkEnd w:id="1"/>
      <w:r w:rsidR="00281325" w:rsidRPr="00452C41">
        <w:rPr>
          <w:sz w:val="20"/>
          <w:szCs w:val="20"/>
        </w:rPr>
        <w:t xml:space="preserve">Exercise physiologists’ adherence to the protocol was reviewed on weekly basis by the study investigators (MM, LJ, JS). All sessions were by appointment only with patients contacted &lt;24 </w:t>
      </w:r>
      <w:proofErr w:type="spellStart"/>
      <w:r w:rsidR="00281325" w:rsidRPr="00452C41">
        <w:rPr>
          <w:sz w:val="20"/>
          <w:szCs w:val="20"/>
        </w:rPr>
        <w:t>hrs</w:t>
      </w:r>
      <w:proofErr w:type="spellEnd"/>
      <w:r w:rsidR="00281325" w:rsidRPr="00452C41">
        <w:rPr>
          <w:sz w:val="20"/>
          <w:szCs w:val="20"/>
        </w:rPr>
        <w:t xml:space="preserve"> following an unscheduled missed session. Rescheduling of missed sessions was permitted within the 1</w:t>
      </w:r>
      <w:r w:rsidRPr="00452C41">
        <w:rPr>
          <w:sz w:val="20"/>
          <w:szCs w:val="20"/>
        </w:rPr>
        <w:t>6</w:t>
      </w:r>
      <w:r w:rsidR="00281325" w:rsidRPr="00452C41">
        <w:rPr>
          <w:sz w:val="20"/>
          <w:szCs w:val="20"/>
        </w:rPr>
        <w:t>-week intervention period.</w:t>
      </w:r>
    </w:p>
    <w:p w14:paraId="3842BBD2" w14:textId="07BE8B55" w:rsidR="00281325" w:rsidRPr="00452C41" w:rsidRDefault="00281325" w:rsidP="00203B50">
      <w:pPr>
        <w:ind w:firstLine="720"/>
        <w:jc w:val="both"/>
        <w:outlineLvl w:val="0"/>
        <w:rPr>
          <w:sz w:val="20"/>
          <w:szCs w:val="20"/>
        </w:rPr>
      </w:pPr>
      <w:r w:rsidRPr="00452C41">
        <w:rPr>
          <w:sz w:val="20"/>
          <w:szCs w:val="20"/>
          <w:u w:val="single"/>
        </w:rPr>
        <w:t>Aerobic Training:</w:t>
      </w:r>
      <w:r w:rsidRPr="00452C41">
        <w:rPr>
          <w:sz w:val="20"/>
          <w:szCs w:val="20"/>
        </w:rPr>
        <w:t xml:space="preserve"> </w:t>
      </w:r>
      <w:r w:rsidR="000A55E9" w:rsidRPr="00452C41">
        <w:rPr>
          <w:sz w:val="20"/>
          <w:szCs w:val="20"/>
        </w:rPr>
        <w:t>AT</w:t>
      </w:r>
      <w:r w:rsidR="00B66271" w:rsidRPr="00452C41">
        <w:rPr>
          <w:sz w:val="20"/>
          <w:szCs w:val="20"/>
        </w:rPr>
        <w:t xml:space="preserve"> consisted of </w:t>
      </w:r>
      <w:r w:rsidR="000F11A1" w:rsidRPr="00452C41">
        <w:rPr>
          <w:sz w:val="20"/>
          <w:szCs w:val="20"/>
        </w:rPr>
        <w:t>48</w:t>
      </w:r>
      <w:r w:rsidR="00B66271" w:rsidRPr="00452C41">
        <w:rPr>
          <w:sz w:val="20"/>
          <w:szCs w:val="20"/>
        </w:rPr>
        <w:t xml:space="preserve"> supervised </w:t>
      </w:r>
      <w:r w:rsidR="000F11A1" w:rsidRPr="00452C41">
        <w:rPr>
          <w:sz w:val="20"/>
          <w:szCs w:val="20"/>
        </w:rPr>
        <w:t>cycle ergometer</w:t>
      </w:r>
      <w:r w:rsidR="00B66271" w:rsidRPr="00452C41">
        <w:rPr>
          <w:sz w:val="20"/>
          <w:szCs w:val="20"/>
        </w:rPr>
        <w:t xml:space="preserve"> sessions delivered </w:t>
      </w:r>
      <w:r w:rsidR="008C6E4E" w:rsidRPr="00452C41">
        <w:rPr>
          <w:sz w:val="20"/>
          <w:szCs w:val="20"/>
        </w:rPr>
        <w:t xml:space="preserve">3 </w:t>
      </w:r>
      <w:r w:rsidR="00512900" w:rsidRPr="00452C41">
        <w:rPr>
          <w:sz w:val="20"/>
          <w:szCs w:val="20"/>
        </w:rPr>
        <w:t>times</w:t>
      </w:r>
      <w:r w:rsidR="00B66271" w:rsidRPr="00452C41">
        <w:rPr>
          <w:sz w:val="20"/>
          <w:szCs w:val="20"/>
        </w:rPr>
        <w:t>-weekly for 1</w:t>
      </w:r>
      <w:r w:rsidR="00512900" w:rsidRPr="00452C41">
        <w:rPr>
          <w:sz w:val="20"/>
          <w:szCs w:val="20"/>
        </w:rPr>
        <w:t>6</w:t>
      </w:r>
      <w:r w:rsidR="00B66271" w:rsidRPr="00452C41">
        <w:rPr>
          <w:sz w:val="20"/>
          <w:szCs w:val="20"/>
        </w:rPr>
        <w:t xml:space="preserve"> consecutive weeks. </w:t>
      </w:r>
      <w:r w:rsidR="000F11A1" w:rsidRPr="00452C41">
        <w:rPr>
          <w:sz w:val="20"/>
          <w:szCs w:val="20"/>
        </w:rPr>
        <w:t>F</w:t>
      </w:r>
      <w:r w:rsidR="00512900" w:rsidRPr="00452C41">
        <w:rPr>
          <w:sz w:val="20"/>
          <w:szCs w:val="20"/>
        </w:rPr>
        <w:t xml:space="preserve">ollowing an initial </w:t>
      </w:r>
      <w:r w:rsidR="000F11A1" w:rsidRPr="00452C41">
        <w:rPr>
          <w:sz w:val="20"/>
          <w:szCs w:val="20"/>
        </w:rPr>
        <w:t>2</w:t>
      </w:r>
      <w:r w:rsidR="00512900" w:rsidRPr="00452C41">
        <w:rPr>
          <w:sz w:val="20"/>
          <w:szCs w:val="20"/>
        </w:rPr>
        <w:t>-week ramp period</w:t>
      </w:r>
      <w:r w:rsidR="00546155" w:rsidRPr="00452C41">
        <w:rPr>
          <w:sz w:val="20"/>
          <w:szCs w:val="20"/>
        </w:rPr>
        <w:t xml:space="preserve">, </w:t>
      </w:r>
      <w:r w:rsidR="00512900" w:rsidRPr="00452C41">
        <w:rPr>
          <w:sz w:val="20"/>
          <w:szCs w:val="20"/>
        </w:rPr>
        <w:t xml:space="preserve">the intensity of each session </w:t>
      </w:r>
      <w:r w:rsidR="000A55E9" w:rsidRPr="00452C41">
        <w:rPr>
          <w:sz w:val="20"/>
          <w:szCs w:val="20"/>
        </w:rPr>
        <w:t>was conducted at one of</w:t>
      </w:r>
      <w:r w:rsidR="00512900" w:rsidRPr="00452C41">
        <w:rPr>
          <w:sz w:val="20"/>
          <w:szCs w:val="20"/>
        </w:rPr>
        <w:t xml:space="preserve"> five different dose intensities (i.e., 55%, 65%, 75%, 80%, and </w:t>
      </w:r>
      <w:r w:rsidR="00416B53" w:rsidRPr="00452C41">
        <w:rPr>
          <w:sz w:val="20"/>
          <w:szCs w:val="20"/>
        </w:rPr>
        <w:t>&gt;95</w:t>
      </w:r>
      <w:r w:rsidR="00512900" w:rsidRPr="00452C41">
        <w:rPr>
          <w:sz w:val="20"/>
          <w:szCs w:val="20"/>
        </w:rPr>
        <w:t xml:space="preserve">%) of </w:t>
      </w:r>
      <w:r w:rsidR="009B2BFE" w:rsidRPr="00452C41">
        <w:rPr>
          <w:sz w:val="20"/>
          <w:szCs w:val="20"/>
        </w:rPr>
        <w:t>peak oxygen consumption (VO</w:t>
      </w:r>
      <w:r w:rsidR="009B2BFE" w:rsidRPr="00452C41">
        <w:rPr>
          <w:sz w:val="20"/>
          <w:szCs w:val="20"/>
          <w:vertAlign w:val="subscript"/>
        </w:rPr>
        <w:t>2</w:t>
      </w:r>
      <w:r w:rsidR="009B2BFE" w:rsidRPr="00452C41">
        <w:rPr>
          <w:sz w:val="20"/>
          <w:szCs w:val="20"/>
        </w:rPr>
        <w:t>peak)</w:t>
      </w:r>
      <w:r w:rsidR="000A55E9" w:rsidRPr="00452C41">
        <w:rPr>
          <w:sz w:val="20"/>
          <w:szCs w:val="20"/>
        </w:rPr>
        <w:t xml:space="preserve"> </w:t>
      </w:r>
      <w:r w:rsidR="00512900" w:rsidRPr="00452C41">
        <w:rPr>
          <w:sz w:val="20"/>
          <w:szCs w:val="20"/>
        </w:rPr>
        <w:t xml:space="preserve">for 20 to </w:t>
      </w:r>
      <w:r w:rsidR="008C1865" w:rsidRPr="00452C41">
        <w:rPr>
          <w:sz w:val="20"/>
          <w:szCs w:val="20"/>
        </w:rPr>
        <w:t>60</w:t>
      </w:r>
      <w:r w:rsidR="00512900" w:rsidRPr="00452C41">
        <w:rPr>
          <w:sz w:val="20"/>
          <w:szCs w:val="20"/>
        </w:rPr>
        <w:t xml:space="preserve"> mins/session. The duration of each session was intensity dependent</w:t>
      </w:r>
      <w:r w:rsidR="00546155" w:rsidRPr="00452C41">
        <w:rPr>
          <w:sz w:val="20"/>
          <w:szCs w:val="20"/>
        </w:rPr>
        <w:t>:</w:t>
      </w:r>
      <w:r w:rsidR="00512900" w:rsidRPr="00452C41">
        <w:rPr>
          <w:sz w:val="20"/>
          <w:szCs w:val="20"/>
        </w:rPr>
        <w:t xml:space="preserve"> low / moderate-intensity sessions (55% to 75%) were longer duration (&gt;30 to </w:t>
      </w:r>
      <w:r w:rsidR="00E103DB" w:rsidRPr="00452C41">
        <w:rPr>
          <w:sz w:val="20"/>
          <w:szCs w:val="20"/>
        </w:rPr>
        <w:t>60</w:t>
      </w:r>
      <w:r w:rsidR="00512900" w:rsidRPr="00452C41">
        <w:rPr>
          <w:sz w:val="20"/>
          <w:szCs w:val="20"/>
        </w:rPr>
        <w:t xml:space="preserve"> mins), and higher-intensity sessions (~ 80%) were shorter duration (~15 to </w:t>
      </w:r>
      <w:r w:rsidR="00862BC1" w:rsidRPr="00452C41">
        <w:rPr>
          <w:sz w:val="20"/>
          <w:szCs w:val="20"/>
        </w:rPr>
        <w:t>30</w:t>
      </w:r>
      <w:r w:rsidR="00512900" w:rsidRPr="00452C41">
        <w:rPr>
          <w:sz w:val="20"/>
          <w:szCs w:val="20"/>
        </w:rPr>
        <w:t xml:space="preserve"> mins). Interval sessions (</w:t>
      </w:r>
      <w:r w:rsidR="000A55E9" w:rsidRPr="00452C41">
        <w:rPr>
          <w:sz w:val="20"/>
          <w:szCs w:val="20"/>
        </w:rPr>
        <w:t>&gt;95</w:t>
      </w:r>
      <w:r w:rsidR="00512900" w:rsidRPr="00452C41">
        <w:rPr>
          <w:sz w:val="20"/>
          <w:szCs w:val="20"/>
        </w:rPr>
        <w:t>% VO</w:t>
      </w:r>
      <w:r w:rsidR="00512900" w:rsidRPr="00452C41">
        <w:rPr>
          <w:sz w:val="20"/>
          <w:szCs w:val="20"/>
          <w:vertAlign w:val="subscript"/>
        </w:rPr>
        <w:t>2</w:t>
      </w:r>
      <w:r w:rsidR="00512900" w:rsidRPr="00452C41">
        <w:rPr>
          <w:sz w:val="20"/>
          <w:szCs w:val="20"/>
        </w:rPr>
        <w:t xml:space="preserve">peak) consisted of </w:t>
      </w:r>
      <w:r w:rsidR="00862BC1" w:rsidRPr="00452C41">
        <w:rPr>
          <w:sz w:val="20"/>
          <w:szCs w:val="20"/>
        </w:rPr>
        <w:t>60</w:t>
      </w:r>
      <w:r w:rsidR="00512900" w:rsidRPr="00452C41">
        <w:rPr>
          <w:sz w:val="20"/>
          <w:szCs w:val="20"/>
        </w:rPr>
        <w:t xml:space="preserve"> secs to 120 secs at peak workload followed by </w:t>
      </w:r>
      <w:r w:rsidR="00862BC1" w:rsidRPr="00452C41">
        <w:rPr>
          <w:sz w:val="20"/>
          <w:szCs w:val="20"/>
        </w:rPr>
        <w:t>120</w:t>
      </w:r>
      <w:r w:rsidR="00512900" w:rsidRPr="00452C41">
        <w:rPr>
          <w:sz w:val="20"/>
          <w:szCs w:val="20"/>
        </w:rPr>
        <w:t xml:space="preserve"> secs to 180 secs of active recovery for </w:t>
      </w:r>
      <w:r w:rsidR="00605595" w:rsidRPr="00452C41">
        <w:rPr>
          <w:sz w:val="20"/>
          <w:szCs w:val="20"/>
        </w:rPr>
        <w:t>4</w:t>
      </w:r>
      <w:r w:rsidR="00512900" w:rsidRPr="00452C41">
        <w:rPr>
          <w:sz w:val="20"/>
          <w:szCs w:val="20"/>
        </w:rPr>
        <w:t xml:space="preserve"> to </w:t>
      </w:r>
      <w:r w:rsidR="00862BC1" w:rsidRPr="00452C41">
        <w:rPr>
          <w:sz w:val="20"/>
          <w:szCs w:val="20"/>
        </w:rPr>
        <w:t>1</w:t>
      </w:r>
      <w:r w:rsidR="00DF28B1" w:rsidRPr="00452C41">
        <w:rPr>
          <w:sz w:val="20"/>
          <w:szCs w:val="20"/>
        </w:rPr>
        <w:t>0</w:t>
      </w:r>
      <w:r w:rsidR="00512900" w:rsidRPr="00452C41">
        <w:rPr>
          <w:sz w:val="20"/>
          <w:szCs w:val="20"/>
        </w:rPr>
        <w:t xml:space="preserve"> intervals. Intensity was individualized to each patient on the basis of workload (i.e., </w:t>
      </w:r>
      <w:r w:rsidR="000A55E9" w:rsidRPr="00452C41">
        <w:rPr>
          <w:sz w:val="20"/>
          <w:szCs w:val="20"/>
        </w:rPr>
        <w:t xml:space="preserve">cycle ergometry </w:t>
      </w:r>
      <w:r w:rsidR="009B2BFE" w:rsidRPr="00452C41">
        <w:rPr>
          <w:sz w:val="20"/>
          <w:szCs w:val="20"/>
        </w:rPr>
        <w:t>w</w:t>
      </w:r>
      <w:r w:rsidR="000A55E9" w:rsidRPr="00452C41">
        <w:rPr>
          <w:sz w:val="20"/>
          <w:szCs w:val="20"/>
        </w:rPr>
        <w:t>attage</w:t>
      </w:r>
      <w:r w:rsidR="00512900" w:rsidRPr="00452C41">
        <w:rPr>
          <w:sz w:val="20"/>
          <w:szCs w:val="20"/>
        </w:rPr>
        <w:t xml:space="preserve">) corresponding to a specific percent of </w:t>
      </w:r>
      <w:r w:rsidR="00512900" w:rsidRPr="00452C41">
        <w:rPr>
          <w:iCs/>
          <w:sz w:val="20"/>
          <w:szCs w:val="20"/>
        </w:rPr>
        <w:t xml:space="preserve">ventilatory thresholds </w:t>
      </w:r>
      <w:r w:rsidR="00512900" w:rsidRPr="00452C41">
        <w:rPr>
          <w:sz w:val="20"/>
          <w:szCs w:val="20"/>
        </w:rPr>
        <w:t xml:space="preserve">measured during the pre-randomization or midpoint (week 8) </w:t>
      </w:r>
      <w:r w:rsidR="007473A2" w:rsidRPr="00452C41">
        <w:rPr>
          <w:sz w:val="20"/>
          <w:szCs w:val="20"/>
        </w:rPr>
        <w:t>cardiopulmonary exercise test (</w:t>
      </w:r>
      <w:r w:rsidR="00512900" w:rsidRPr="00452C41">
        <w:rPr>
          <w:sz w:val="20"/>
          <w:szCs w:val="20"/>
        </w:rPr>
        <w:t>CPET</w:t>
      </w:r>
      <w:r w:rsidR="007473A2" w:rsidRPr="00452C41">
        <w:rPr>
          <w:sz w:val="20"/>
          <w:szCs w:val="20"/>
        </w:rPr>
        <w:t>)</w:t>
      </w:r>
      <w:r w:rsidR="00512900" w:rsidRPr="00452C41">
        <w:rPr>
          <w:sz w:val="20"/>
          <w:szCs w:val="20"/>
        </w:rPr>
        <w:t xml:space="preserve">. The planned </w:t>
      </w:r>
      <w:r w:rsidR="00B17B2A" w:rsidRPr="00452C41">
        <w:rPr>
          <w:sz w:val="20"/>
          <w:szCs w:val="20"/>
        </w:rPr>
        <w:t>exercise dose (a function of training intensity and duration) was scheduled such that physiological stress was continually altered and progressively increased in conjunction with appropriate rest and recovery sessions to optimize physiological adaptation across the entire</w:t>
      </w:r>
      <w:r w:rsidR="008368A4" w:rsidRPr="00452C41">
        <w:rPr>
          <w:sz w:val="20"/>
          <w:szCs w:val="20"/>
        </w:rPr>
        <w:t xml:space="preserve"> intervention period (i.e., non</w:t>
      </w:r>
      <w:r w:rsidR="00B17B2A" w:rsidRPr="00452C41">
        <w:rPr>
          <w:sz w:val="20"/>
          <w:szCs w:val="20"/>
        </w:rPr>
        <w:t>linear periodized</w:t>
      </w:r>
      <w:r w:rsidR="008C1865" w:rsidRPr="00452C41">
        <w:rPr>
          <w:sz w:val="20"/>
          <w:szCs w:val="20"/>
        </w:rPr>
        <w:t xml:space="preserve"> </w:t>
      </w:r>
      <w:r w:rsidR="00512900" w:rsidRPr="00452C41">
        <w:rPr>
          <w:sz w:val="20"/>
          <w:szCs w:val="20"/>
        </w:rPr>
        <w:t>dose scheduling</w:t>
      </w:r>
      <w:r w:rsidR="008C1865" w:rsidRPr="00452C41">
        <w:rPr>
          <w:sz w:val="20"/>
          <w:szCs w:val="20"/>
        </w:rPr>
        <w:t>)</w:t>
      </w:r>
      <w:r w:rsidR="00512900" w:rsidRPr="00452C41">
        <w:rPr>
          <w:sz w:val="20"/>
          <w:szCs w:val="20"/>
        </w:rPr>
        <w:t>.</w:t>
      </w:r>
      <w:r w:rsidR="00E771BA" w:rsidRPr="00452C41">
        <w:rPr>
          <w:sz w:val="20"/>
          <w:szCs w:val="20"/>
        </w:rPr>
        <w:fldChar w:fldCharType="begin"/>
      </w:r>
      <w:r w:rsidR="009F1998">
        <w:rPr>
          <w:sz w:val="20"/>
          <w:szCs w:val="20"/>
        </w:rPr>
        <w:instrText xml:space="preserve"> ADDIN EN.CITE &lt;EndNote&gt;&lt;Cite&gt;&lt;Author&gt;Sasso&lt;/Author&gt;&lt;Year&gt;2015&lt;/Year&gt;&lt;RecNum&gt;4177&lt;/RecNum&gt;&lt;DisplayText&gt;[1]&lt;/DisplayText&gt;&lt;record&gt;&lt;rec-number&gt;4177&lt;/rec-number&gt;&lt;foreign-keys&gt;&lt;key app="EN" db-id="2srdt0z920029oepvvmpfxf4ppxfedpt95xt" timestamp="0"&gt;4177&lt;/key&gt;&lt;/foreign-keys&gt;&lt;ref-type name="Journal Article"&gt;17&lt;/ref-type&gt;&lt;contributors&gt;&lt;authors&gt;&lt;author&gt;Sasso, J. P.&lt;/author&gt;&lt;author&gt;Eves, N. D.&lt;/author&gt;&lt;author&gt;Christensen, J. F.&lt;/author&gt;&lt;author&gt;Koelwyn, G. J.&lt;/author&gt;&lt;author&gt;Scott, J.&lt;/author&gt;&lt;author&gt;Jones, L. W.&lt;/author&gt;&lt;/authors&gt;&lt;/contributors&gt;&lt;auth-address&gt;Memorial Sloan Kettering Cancer Centre, New York, NY, USA.&amp;#xD;Centre for Heart, Lung and Vascular Health, School of Health and Exercise Sciences, University of British Columbia Okanagan, Kelowna, British Columbia, Canada.&amp;#xD;The Centre of Inflammation and Metabolism and the Centre for Physical Activity Research (CIM/CFAS), Department of Infectious Diseases, Rigshospitalet, Copenhagen, Denmark.&amp;#xD;Sackler Institute of Graduate Biomedical Sciences, New York University School of Medicine, New York, NY, USA.&amp;#xD;Universities Space Research Association, NASA Johnson Space Centre, Houston, Texas, USA.&lt;/auth-address&gt;&lt;titles&gt;&lt;title&gt;A framework for prescription in exercise-oncology research&lt;/title&gt;&lt;secondary-title&gt;J Cachexia Sarcopenia Muscle&lt;/secondary-title&gt;&lt;alt-title&gt;Journal of cachexia, sarcopenia and muscle&lt;/alt-title&gt;&lt;/titles&gt;&lt;periodical&gt;&lt;full-title&gt;J Cachexia Sarcopenia Muscle&lt;/full-title&gt;&lt;/periodical&gt;&lt;pages&gt;115-24&lt;/pages&gt;&lt;volume&gt;6&lt;/volume&gt;&lt;number&gt;2&lt;/number&gt;&lt;edition&gt;2015/07/03&lt;/edition&gt;&lt;dates&gt;&lt;year&gt;2015&lt;/year&gt;&lt;pub-dates&gt;&lt;date&gt;Jun&lt;/date&gt;&lt;/pub-dates&gt;&lt;/dates&gt;&lt;isbn&gt;2190-5991 (Print)&amp;#xD;2190-5991 (Linking)&lt;/isbn&gt;&lt;accession-num&gt;26136187&lt;/accession-num&gt;&lt;work-type&gt;Editorial&lt;/work-type&gt;&lt;urls&gt;&lt;related-urls&gt;&lt;url&gt;http://www.ncbi.nlm.nih.gov/pubmed/26136187&lt;/url&gt;&lt;/related-urls&gt;&lt;/urls&gt;&lt;custom2&gt;4458077&lt;/custom2&gt;&lt;electronic-resource-num&gt;10.1002/jcsm.12042&lt;/electronic-resource-num&gt;&lt;language&gt;eng&lt;/language&gt;&lt;/record&gt;&lt;/Cite&gt;&lt;/EndNote&gt;</w:instrText>
      </w:r>
      <w:r w:rsidR="00E771BA" w:rsidRPr="00452C41">
        <w:rPr>
          <w:sz w:val="20"/>
          <w:szCs w:val="20"/>
        </w:rPr>
        <w:fldChar w:fldCharType="separate"/>
      </w:r>
      <w:r w:rsidR="009F1998">
        <w:rPr>
          <w:noProof/>
          <w:sz w:val="20"/>
          <w:szCs w:val="20"/>
        </w:rPr>
        <w:t>[1]</w:t>
      </w:r>
      <w:r w:rsidR="00E771BA" w:rsidRPr="00452C41">
        <w:rPr>
          <w:sz w:val="20"/>
          <w:szCs w:val="20"/>
        </w:rPr>
        <w:fldChar w:fldCharType="end"/>
      </w:r>
      <w:r w:rsidR="00E103DB" w:rsidRPr="00452C41">
        <w:rPr>
          <w:sz w:val="20"/>
          <w:szCs w:val="20"/>
        </w:rPr>
        <w:t xml:space="preserve"> Specifically, in week 1, participants performed 3 sessions/week, at an </w:t>
      </w:r>
      <w:r w:rsidR="00E103DB" w:rsidRPr="00452C41">
        <w:rPr>
          <w:iCs/>
          <w:sz w:val="20"/>
          <w:szCs w:val="20"/>
        </w:rPr>
        <w:t xml:space="preserve">intensity of 55% </w:t>
      </w:r>
      <w:r w:rsidR="00E103DB" w:rsidRPr="00452C41">
        <w:rPr>
          <w:sz w:val="20"/>
          <w:szCs w:val="20"/>
        </w:rPr>
        <w:t>VO</w:t>
      </w:r>
      <w:r w:rsidR="00E103DB" w:rsidRPr="00452C41">
        <w:rPr>
          <w:sz w:val="20"/>
          <w:szCs w:val="20"/>
          <w:vertAlign w:val="subscript"/>
        </w:rPr>
        <w:t>2</w:t>
      </w:r>
      <w:r w:rsidR="00E103DB" w:rsidRPr="00452C41">
        <w:rPr>
          <w:sz w:val="20"/>
          <w:szCs w:val="20"/>
        </w:rPr>
        <w:t>peak</w:t>
      </w:r>
      <w:r w:rsidR="00E103DB" w:rsidRPr="00452C41">
        <w:rPr>
          <w:iCs/>
          <w:sz w:val="20"/>
          <w:szCs w:val="20"/>
        </w:rPr>
        <w:t xml:space="preserve"> for ~ 30 mins/session. From week 2 </w:t>
      </w:r>
      <w:r w:rsidR="00605595" w:rsidRPr="00452C41">
        <w:rPr>
          <w:iCs/>
          <w:sz w:val="20"/>
          <w:szCs w:val="20"/>
        </w:rPr>
        <w:t>to 5</w:t>
      </w:r>
      <w:r w:rsidR="00E103DB" w:rsidRPr="00452C41">
        <w:rPr>
          <w:iCs/>
          <w:sz w:val="20"/>
          <w:szCs w:val="20"/>
        </w:rPr>
        <w:t xml:space="preserve">, </w:t>
      </w:r>
      <w:r w:rsidR="00E103DB" w:rsidRPr="00452C41">
        <w:rPr>
          <w:sz w:val="20"/>
          <w:szCs w:val="20"/>
        </w:rPr>
        <w:t xml:space="preserve">participants performed 3 sessions/week at 55% to </w:t>
      </w:r>
      <w:r w:rsidR="00605595" w:rsidRPr="00452C41">
        <w:rPr>
          <w:sz w:val="20"/>
          <w:szCs w:val="20"/>
        </w:rPr>
        <w:t>6</w:t>
      </w:r>
      <w:r w:rsidR="00E103DB" w:rsidRPr="00452C41">
        <w:rPr>
          <w:sz w:val="20"/>
          <w:szCs w:val="20"/>
        </w:rPr>
        <w:t>5% VO</w:t>
      </w:r>
      <w:r w:rsidR="00E103DB" w:rsidRPr="00452C41">
        <w:rPr>
          <w:sz w:val="20"/>
          <w:szCs w:val="20"/>
          <w:vertAlign w:val="subscript"/>
        </w:rPr>
        <w:t>2</w:t>
      </w:r>
      <w:r w:rsidR="00E103DB" w:rsidRPr="00452C41">
        <w:rPr>
          <w:sz w:val="20"/>
          <w:szCs w:val="20"/>
        </w:rPr>
        <w:t xml:space="preserve">peak. In weeks 6 to 11, </w:t>
      </w:r>
      <w:r w:rsidR="00E103DB" w:rsidRPr="00452C41">
        <w:rPr>
          <w:iCs/>
          <w:sz w:val="20"/>
          <w:szCs w:val="20"/>
        </w:rPr>
        <w:t>two sessions were dosed at 55%-70% VO</w:t>
      </w:r>
      <w:r w:rsidR="00E103DB" w:rsidRPr="00452C41">
        <w:rPr>
          <w:iCs/>
          <w:sz w:val="20"/>
          <w:szCs w:val="20"/>
          <w:vertAlign w:val="subscript"/>
        </w:rPr>
        <w:t>2</w:t>
      </w:r>
      <w:r w:rsidR="00E103DB" w:rsidRPr="00452C41">
        <w:rPr>
          <w:iCs/>
          <w:sz w:val="20"/>
          <w:szCs w:val="20"/>
        </w:rPr>
        <w:t>peak for 30 to 60 mins; the remaining session was dosed at 70%-80% VO</w:t>
      </w:r>
      <w:r w:rsidR="00E103DB" w:rsidRPr="00452C41">
        <w:rPr>
          <w:iCs/>
          <w:sz w:val="20"/>
          <w:szCs w:val="20"/>
          <w:vertAlign w:val="subscript"/>
        </w:rPr>
        <w:t>2</w:t>
      </w:r>
      <w:r w:rsidR="00E103DB" w:rsidRPr="00452C41">
        <w:rPr>
          <w:iCs/>
          <w:sz w:val="20"/>
          <w:szCs w:val="20"/>
        </w:rPr>
        <w:t xml:space="preserve">peak (i.e., ventilatory threshold) for </w:t>
      </w:r>
      <w:r w:rsidR="00605595" w:rsidRPr="00452C41">
        <w:rPr>
          <w:iCs/>
          <w:sz w:val="20"/>
          <w:szCs w:val="20"/>
        </w:rPr>
        <w:t>15</w:t>
      </w:r>
      <w:r w:rsidR="009B2BFE" w:rsidRPr="00452C41">
        <w:rPr>
          <w:iCs/>
          <w:sz w:val="20"/>
          <w:szCs w:val="20"/>
        </w:rPr>
        <w:t>-</w:t>
      </w:r>
      <w:r w:rsidR="00E103DB" w:rsidRPr="00452C41">
        <w:rPr>
          <w:iCs/>
          <w:sz w:val="20"/>
          <w:szCs w:val="20"/>
        </w:rPr>
        <w:t>30 mins. From week 12 onwards, two sessions were dosed at 55%-75% VO</w:t>
      </w:r>
      <w:r w:rsidR="00E103DB" w:rsidRPr="00452C41">
        <w:rPr>
          <w:iCs/>
          <w:sz w:val="20"/>
          <w:szCs w:val="20"/>
          <w:vertAlign w:val="subscript"/>
        </w:rPr>
        <w:t>2</w:t>
      </w:r>
      <w:r w:rsidR="00E103DB" w:rsidRPr="00452C41">
        <w:rPr>
          <w:iCs/>
          <w:sz w:val="20"/>
          <w:szCs w:val="20"/>
        </w:rPr>
        <w:t>peak for 30 to 60 mins; the remaining session was dosed at 85%-</w:t>
      </w:r>
      <w:r w:rsidR="009B2BFE" w:rsidRPr="00452C41">
        <w:rPr>
          <w:iCs/>
          <w:sz w:val="20"/>
          <w:szCs w:val="20"/>
        </w:rPr>
        <w:t>&gt;95</w:t>
      </w:r>
      <w:r w:rsidR="00E103DB" w:rsidRPr="00452C41">
        <w:rPr>
          <w:iCs/>
          <w:sz w:val="20"/>
          <w:szCs w:val="20"/>
        </w:rPr>
        <w:t>% VO</w:t>
      </w:r>
      <w:r w:rsidR="00E103DB" w:rsidRPr="00452C41">
        <w:rPr>
          <w:iCs/>
          <w:sz w:val="20"/>
          <w:szCs w:val="20"/>
          <w:vertAlign w:val="subscript"/>
        </w:rPr>
        <w:t>2</w:t>
      </w:r>
      <w:r w:rsidR="00E103DB" w:rsidRPr="00452C41">
        <w:rPr>
          <w:iCs/>
          <w:sz w:val="20"/>
          <w:szCs w:val="20"/>
        </w:rPr>
        <w:t>peak (i.e., interval training).</w:t>
      </w:r>
      <w:r w:rsidR="00E103DB" w:rsidRPr="00452C41">
        <w:rPr>
          <w:sz w:val="20"/>
          <w:szCs w:val="20"/>
        </w:rPr>
        <w:fldChar w:fldCharType="begin"/>
      </w:r>
      <w:r w:rsidR="009F1998">
        <w:rPr>
          <w:sz w:val="20"/>
          <w:szCs w:val="20"/>
        </w:rPr>
        <w:instrText xml:space="preserve"> ADDIN EN.CITE &lt;EndNote&gt;&lt;Cite&gt;&lt;Author&gt;Sasso&lt;/Author&gt;&lt;Year&gt;2015&lt;/Year&gt;&lt;RecNum&gt;4177&lt;/RecNum&gt;&lt;DisplayText&gt;[1]&lt;/DisplayText&gt;&lt;record&gt;&lt;rec-number&gt;4177&lt;/rec-number&gt;&lt;foreign-keys&gt;&lt;key app="EN" db-id="2srdt0z920029oepvvmpfxf4ppxfedpt95xt" timestamp="0"&gt;4177&lt;/key&gt;&lt;/foreign-keys&gt;&lt;ref-type name="Journal Article"&gt;17&lt;/ref-type&gt;&lt;contributors&gt;&lt;authors&gt;&lt;author&gt;Sasso, J. P.&lt;/author&gt;&lt;author&gt;Eves, N. D.&lt;/author&gt;&lt;author&gt;Christensen, J. F.&lt;/author&gt;&lt;author&gt;Koelwyn, G. J.&lt;/author&gt;&lt;author&gt;Scott, J.&lt;/author&gt;&lt;author&gt;Jones, L. W.&lt;/author&gt;&lt;/authors&gt;&lt;/contributors&gt;&lt;auth-address&gt;Memorial Sloan Kettering Cancer Centre, New York, NY, USA.&amp;#xD;Centre for Heart, Lung and Vascular Health, School of Health and Exercise Sciences, University of British Columbia Okanagan, Kelowna, British Columbia, Canada.&amp;#xD;The Centre of Inflammation and Metabolism and the Centre for Physical Activity Research (CIM/CFAS), Department of Infectious Diseases, Rigshospitalet, Copenhagen, Denmark.&amp;#xD;Sackler Institute of Graduate Biomedical Sciences, New York University School of Medicine, New York, NY, USA.&amp;#xD;Universities Space Research Association, NASA Johnson Space Centre, Houston, Texas, USA.&lt;/auth-address&gt;&lt;titles&gt;&lt;title&gt;A framework for prescription in exercise-oncology research&lt;/title&gt;&lt;secondary-title&gt;J Cachexia Sarcopenia Muscle&lt;/secondary-title&gt;&lt;alt-title&gt;Journal of cachexia, sarcopenia and muscle&lt;/alt-title&gt;&lt;/titles&gt;&lt;periodical&gt;&lt;full-title&gt;J Cachexia Sarcopenia Muscle&lt;/full-title&gt;&lt;/periodical&gt;&lt;pages&gt;115-24&lt;/pages&gt;&lt;volume&gt;6&lt;/volume&gt;&lt;number&gt;2&lt;/number&gt;&lt;edition&gt;2015/07/03&lt;/edition&gt;&lt;dates&gt;&lt;year&gt;2015&lt;/year&gt;&lt;pub-dates&gt;&lt;date&gt;Jun&lt;/date&gt;&lt;/pub-dates&gt;&lt;/dates&gt;&lt;isbn&gt;2190-5991 (Print)&amp;#xD;2190-5991 (Linking)&lt;/isbn&gt;&lt;accession-num&gt;26136187&lt;/accession-num&gt;&lt;work-type&gt;Editorial&lt;/work-type&gt;&lt;urls&gt;&lt;related-urls&gt;&lt;url&gt;http://www.ncbi.nlm.nih.gov/pubmed/26136187&lt;/url&gt;&lt;/related-urls&gt;&lt;/urls&gt;&lt;custom2&gt;4458077&lt;/custom2&gt;&lt;electronic-resource-num&gt;10.1002/jcsm.12042&lt;/electronic-resource-num&gt;&lt;language&gt;eng&lt;/language&gt;&lt;/record&gt;&lt;/Cite&gt;&lt;/EndNote&gt;</w:instrText>
      </w:r>
      <w:r w:rsidR="00E103DB" w:rsidRPr="00452C41">
        <w:rPr>
          <w:sz w:val="20"/>
          <w:szCs w:val="20"/>
        </w:rPr>
        <w:fldChar w:fldCharType="separate"/>
      </w:r>
      <w:r w:rsidR="009F1998">
        <w:rPr>
          <w:noProof/>
          <w:sz w:val="20"/>
          <w:szCs w:val="20"/>
        </w:rPr>
        <w:t>[1]</w:t>
      </w:r>
      <w:r w:rsidR="00E103DB" w:rsidRPr="00452C41">
        <w:rPr>
          <w:sz w:val="20"/>
          <w:szCs w:val="20"/>
        </w:rPr>
        <w:fldChar w:fldCharType="end"/>
      </w:r>
    </w:p>
    <w:p w14:paraId="40F45FA8" w14:textId="7C4AC1FC" w:rsidR="000F11A1" w:rsidRPr="00452C41" w:rsidRDefault="000F11A1" w:rsidP="00203B50">
      <w:pPr>
        <w:ind w:firstLine="720"/>
        <w:jc w:val="both"/>
        <w:outlineLvl w:val="0"/>
        <w:rPr>
          <w:sz w:val="20"/>
          <w:szCs w:val="20"/>
        </w:rPr>
      </w:pPr>
      <w:r w:rsidRPr="00452C41">
        <w:rPr>
          <w:sz w:val="20"/>
          <w:szCs w:val="20"/>
          <w:u w:val="single"/>
        </w:rPr>
        <w:t>Resistance Trainin</w:t>
      </w:r>
      <w:r w:rsidR="008C1865" w:rsidRPr="00452C41">
        <w:rPr>
          <w:sz w:val="20"/>
          <w:szCs w:val="20"/>
          <w:u w:val="single"/>
        </w:rPr>
        <w:t>g</w:t>
      </w:r>
      <w:r w:rsidRPr="00452C41">
        <w:rPr>
          <w:sz w:val="20"/>
          <w:szCs w:val="20"/>
          <w:u w:val="single"/>
        </w:rPr>
        <w:t>:</w:t>
      </w:r>
      <w:r w:rsidRPr="00452C41">
        <w:rPr>
          <w:sz w:val="20"/>
          <w:szCs w:val="20"/>
        </w:rPr>
        <w:t xml:space="preserve"> </w:t>
      </w:r>
      <w:r w:rsidR="008C1865" w:rsidRPr="00452C41">
        <w:rPr>
          <w:sz w:val="20"/>
          <w:szCs w:val="20"/>
        </w:rPr>
        <w:t>RT</w:t>
      </w:r>
      <w:r w:rsidRPr="00452C41">
        <w:rPr>
          <w:sz w:val="20"/>
          <w:szCs w:val="20"/>
        </w:rPr>
        <w:t xml:space="preserve"> consisted of 48 supervised sessions delivered 3 times-weekly for 16 consecutive weeks. </w:t>
      </w:r>
      <w:bookmarkStart w:id="3" w:name="_Hlk81398625"/>
      <w:r w:rsidRPr="00452C41">
        <w:rPr>
          <w:sz w:val="20"/>
          <w:szCs w:val="20"/>
        </w:rPr>
        <w:t>Following an initial 2-week ramp period,</w:t>
      </w:r>
      <w:r w:rsidR="00B27D6A" w:rsidRPr="00452C41">
        <w:rPr>
          <w:sz w:val="20"/>
          <w:szCs w:val="20"/>
        </w:rPr>
        <w:t xml:space="preserve"> RT exercises were progressively trained to perform three sets of </w:t>
      </w:r>
      <w:r w:rsidR="005800CD">
        <w:rPr>
          <w:sz w:val="20"/>
          <w:szCs w:val="20"/>
        </w:rPr>
        <w:t>6</w:t>
      </w:r>
      <w:r w:rsidR="00B27D6A" w:rsidRPr="00452C41">
        <w:rPr>
          <w:sz w:val="20"/>
          <w:szCs w:val="20"/>
        </w:rPr>
        <w:t xml:space="preserve"> to 1</w:t>
      </w:r>
      <w:r w:rsidR="005800CD">
        <w:rPr>
          <w:sz w:val="20"/>
          <w:szCs w:val="20"/>
        </w:rPr>
        <w:t>8</w:t>
      </w:r>
      <w:r w:rsidR="00B27D6A" w:rsidRPr="00452C41">
        <w:rPr>
          <w:sz w:val="20"/>
          <w:szCs w:val="20"/>
        </w:rPr>
        <w:t xml:space="preserve"> repetitions of </w:t>
      </w:r>
      <w:r w:rsidR="00DF28B1" w:rsidRPr="00452C41">
        <w:rPr>
          <w:sz w:val="20"/>
          <w:szCs w:val="20"/>
        </w:rPr>
        <w:t>14</w:t>
      </w:r>
      <w:r w:rsidR="00B27D6A" w:rsidRPr="00452C41">
        <w:rPr>
          <w:sz w:val="20"/>
          <w:szCs w:val="20"/>
        </w:rPr>
        <w:t xml:space="preserve"> resistance exercises </w:t>
      </w:r>
      <w:r w:rsidR="00605595" w:rsidRPr="00452C41">
        <w:rPr>
          <w:sz w:val="20"/>
          <w:szCs w:val="20"/>
        </w:rPr>
        <w:t>(</w:t>
      </w:r>
      <w:r w:rsidR="00546155" w:rsidRPr="00452C41">
        <w:rPr>
          <w:sz w:val="20"/>
          <w:szCs w:val="20"/>
        </w:rPr>
        <w:t xml:space="preserve">i.e., </w:t>
      </w:r>
      <w:r w:rsidR="00B54746" w:rsidRPr="00452C41">
        <w:rPr>
          <w:sz w:val="20"/>
          <w:szCs w:val="20"/>
        </w:rPr>
        <w:t>chest press, seated row, lateral pull down, pec deck, bicep curl, tricep</w:t>
      </w:r>
      <w:r w:rsidR="00316481" w:rsidRPr="00452C41">
        <w:rPr>
          <w:sz w:val="20"/>
          <w:szCs w:val="20"/>
        </w:rPr>
        <w:t>s</w:t>
      </w:r>
      <w:r w:rsidR="00B54746" w:rsidRPr="00452C41">
        <w:rPr>
          <w:sz w:val="20"/>
          <w:szCs w:val="20"/>
        </w:rPr>
        <w:t xml:space="preserve"> extension, push up, leg press, leg curl, leg extension, hip abduction, hip adduction, step up</w:t>
      </w:r>
      <w:r w:rsidR="00546155" w:rsidRPr="00452C41">
        <w:rPr>
          <w:sz w:val="20"/>
          <w:szCs w:val="20"/>
        </w:rPr>
        <w:t>,</w:t>
      </w:r>
      <w:r w:rsidR="00B54746" w:rsidRPr="00452C41">
        <w:rPr>
          <w:sz w:val="20"/>
          <w:szCs w:val="20"/>
        </w:rPr>
        <w:t xml:space="preserve"> and sit-to-stan</w:t>
      </w:r>
      <w:r w:rsidR="00546155" w:rsidRPr="00452C41">
        <w:rPr>
          <w:sz w:val="20"/>
          <w:szCs w:val="20"/>
        </w:rPr>
        <w:t>d</w:t>
      </w:r>
      <w:r w:rsidR="00B54746" w:rsidRPr="00452C41">
        <w:rPr>
          <w:sz w:val="20"/>
          <w:szCs w:val="20"/>
        </w:rPr>
        <w:t xml:space="preserve">) </w:t>
      </w:r>
      <w:r w:rsidR="00B27D6A" w:rsidRPr="00452C41">
        <w:rPr>
          <w:sz w:val="20"/>
          <w:szCs w:val="20"/>
        </w:rPr>
        <w:t>alternating between lower and upper extremity muscle groups for 30-60 minutes/session. Intensity was individualized to each patient on the basis of maximal strength corresponding to a specific percent of a one one-repetition maximum (1-RM) measured during the pre-randomization or midpoint (week 8).</w:t>
      </w:r>
      <w:r w:rsidR="00B54746" w:rsidRPr="00452C41">
        <w:rPr>
          <w:sz w:val="20"/>
          <w:szCs w:val="20"/>
        </w:rPr>
        <w:t xml:space="preserve"> Specifically, in </w:t>
      </w:r>
      <w:r w:rsidR="00546155" w:rsidRPr="00452C41">
        <w:rPr>
          <w:sz w:val="20"/>
          <w:szCs w:val="20"/>
        </w:rPr>
        <w:t>W</w:t>
      </w:r>
      <w:r w:rsidR="00B54746" w:rsidRPr="00452C41">
        <w:rPr>
          <w:sz w:val="20"/>
          <w:szCs w:val="20"/>
        </w:rPr>
        <w:t xml:space="preserve">eek 1 to 2, participants performed 3 sessions/week, at an </w:t>
      </w:r>
      <w:r w:rsidR="00B54746" w:rsidRPr="00452C41">
        <w:rPr>
          <w:iCs/>
          <w:sz w:val="20"/>
          <w:szCs w:val="20"/>
        </w:rPr>
        <w:t xml:space="preserve">intensity of 50-60% </w:t>
      </w:r>
      <w:r w:rsidR="00B54746" w:rsidRPr="00452C41">
        <w:rPr>
          <w:sz w:val="20"/>
          <w:szCs w:val="20"/>
        </w:rPr>
        <w:t xml:space="preserve">of their 1-RM for </w:t>
      </w:r>
      <w:r w:rsidR="00FF5716" w:rsidRPr="00452C41">
        <w:rPr>
          <w:sz w:val="20"/>
          <w:szCs w:val="20"/>
        </w:rPr>
        <w:t xml:space="preserve">2-3 sets of </w:t>
      </w:r>
      <w:r w:rsidR="00B54746" w:rsidRPr="00452C41">
        <w:rPr>
          <w:sz w:val="20"/>
          <w:szCs w:val="20"/>
        </w:rPr>
        <w:t xml:space="preserve">10-15 repetitions </w:t>
      </w:r>
      <w:r w:rsidR="00FF5716" w:rsidRPr="00452C41">
        <w:rPr>
          <w:sz w:val="20"/>
          <w:szCs w:val="20"/>
        </w:rPr>
        <w:t>for</w:t>
      </w:r>
      <w:r w:rsidR="00B54746" w:rsidRPr="00452C41">
        <w:rPr>
          <w:sz w:val="20"/>
          <w:szCs w:val="20"/>
        </w:rPr>
        <w:t xml:space="preserve"> both upper and lower body exercises</w:t>
      </w:r>
      <w:r w:rsidR="00B54746" w:rsidRPr="00452C41">
        <w:rPr>
          <w:iCs/>
          <w:sz w:val="20"/>
          <w:szCs w:val="20"/>
        </w:rPr>
        <w:t xml:space="preserve">. From </w:t>
      </w:r>
      <w:r w:rsidR="00546155" w:rsidRPr="00452C41">
        <w:rPr>
          <w:iCs/>
          <w:sz w:val="20"/>
          <w:szCs w:val="20"/>
        </w:rPr>
        <w:t>W</w:t>
      </w:r>
      <w:r w:rsidR="00B54746" w:rsidRPr="00452C41">
        <w:rPr>
          <w:iCs/>
          <w:sz w:val="20"/>
          <w:szCs w:val="20"/>
        </w:rPr>
        <w:t xml:space="preserve">eek 3 to 8, </w:t>
      </w:r>
      <w:r w:rsidR="00B54746" w:rsidRPr="00452C41">
        <w:rPr>
          <w:sz w:val="20"/>
          <w:szCs w:val="20"/>
        </w:rPr>
        <w:t>participants performed 1 session/week at 70</w:t>
      </w:r>
      <w:r w:rsidR="00FF5716" w:rsidRPr="00452C41">
        <w:rPr>
          <w:sz w:val="20"/>
          <w:szCs w:val="20"/>
        </w:rPr>
        <w:t>-</w:t>
      </w:r>
      <w:r w:rsidR="00B54746" w:rsidRPr="00452C41">
        <w:rPr>
          <w:sz w:val="20"/>
          <w:szCs w:val="20"/>
        </w:rPr>
        <w:t xml:space="preserve">80% of 1-RM for </w:t>
      </w:r>
      <w:r w:rsidR="00FF5716" w:rsidRPr="00452C41">
        <w:rPr>
          <w:sz w:val="20"/>
          <w:szCs w:val="20"/>
        </w:rPr>
        <w:t xml:space="preserve">3 sets of </w:t>
      </w:r>
      <w:r w:rsidR="00B54746" w:rsidRPr="00452C41">
        <w:rPr>
          <w:sz w:val="20"/>
          <w:szCs w:val="20"/>
        </w:rPr>
        <w:t xml:space="preserve">8-10 repetitions </w:t>
      </w:r>
      <w:r w:rsidR="00FF5716" w:rsidRPr="00452C41">
        <w:rPr>
          <w:sz w:val="20"/>
          <w:szCs w:val="20"/>
        </w:rPr>
        <w:t>for</w:t>
      </w:r>
      <w:r w:rsidR="00B54746" w:rsidRPr="00452C41">
        <w:rPr>
          <w:sz w:val="20"/>
          <w:szCs w:val="20"/>
        </w:rPr>
        <w:t xml:space="preserve"> upper</w:t>
      </w:r>
      <w:r w:rsidR="00FF5716" w:rsidRPr="00452C41">
        <w:rPr>
          <w:sz w:val="20"/>
          <w:szCs w:val="20"/>
        </w:rPr>
        <w:t xml:space="preserve"> body exercise</w:t>
      </w:r>
      <w:r w:rsidR="00B54746" w:rsidRPr="00452C41">
        <w:rPr>
          <w:sz w:val="20"/>
          <w:szCs w:val="20"/>
        </w:rPr>
        <w:t>; 1 session/week at 60</w:t>
      </w:r>
      <w:r w:rsidR="00FF5716" w:rsidRPr="00452C41">
        <w:rPr>
          <w:sz w:val="20"/>
          <w:szCs w:val="20"/>
        </w:rPr>
        <w:t>-</w:t>
      </w:r>
      <w:r w:rsidR="00B54746" w:rsidRPr="00452C41">
        <w:rPr>
          <w:sz w:val="20"/>
          <w:szCs w:val="20"/>
        </w:rPr>
        <w:t>65%</w:t>
      </w:r>
      <w:r w:rsidR="00FF5716" w:rsidRPr="00452C41">
        <w:rPr>
          <w:sz w:val="20"/>
          <w:szCs w:val="20"/>
        </w:rPr>
        <w:t xml:space="preserve"> of 1-RM for 3 sets of 15-18 repetitions for lower body exercises; the remaining session </w:t>
      </w:r>
      <w:r w:rsidR="00FF5716" w:rsidRPr="00452C41">
        <w:rPr>
          <w:sz w:val="20"/>
          <w:szCs w:val="20"/>
        </w:rPr>
        <w:lastRenderedPageBreak/>
        <w:t>was a combination of the two previous days</w:t>
      </w:r>
      <w:r w:rsidR="00B54746" w:rsidRPr="00452C41">
        <w:rPr>
          <w:sz w:val="20"/>
          <w:szCs w:val="20"/>
        </w:rPr>
        <w:t xml:space="preserve">. In </w:t>
      </w:r>
      <w:r w:rsidR="00546155" w:rsidRPr="00452C41">
        <w:rPr>
          <w:sz w:val="20"/>
          <w:szCs w:val="20"/>
        </w:rPr>
        <w:t>W</w:t>
      </w:r>
      <w:r w:rsidR="00B54746" w:rsidRPr="00452C41">
        <w:rPr>
          <w:sz w:val="20"/>
          <w:szCs w:val="20"/>
        </w:rPr>
        <w:t xml:space="preserve">eeks </w:t>
      </w:r>
      <w:r w:rsidR="00FF5716" w:rsidRPr="00452C41">
        <w:rPr>
          <w:sz w:val="20"/>
          <w:szCs w:val="20"/>
        </w:rPr>
        <w:t>9</w:t>
      </w:r>
      <w:r w:rsidR="00B54746" w:rsidRPr="00452C41">
        <w:rPr>
          <w:sz w:val="20"/>
          <w:szCs w:val="20"/>
        </w:rPr>
        <w:t xml:space="preserve"> to 1</w:t>
      </w:r>
      <w:r w:rsidR="00FF5716" w:rsidRPr="00452C41">
        <w:rPr>
          <w:sz w:val="20"/>
          <w:szCs w:val="20"/>
        </w:rPr>
        <w:t>6 participants performed 1 session/week at 75-85% of 1-RM 3 sets of 6-10 repetitions for upper body exercises; 1 session/week at 70-75% of 1-RM for 2-3</w:t>
      </w:r>
      <w:r w:rsidR="00C15623" w:rsidRPr="00452C41">
        <w:rPr>
          <w:sz w:val="20"/>
          <w:szCs w:val="20"/>
        </w:rPr>
        <w:t xml:space="preserve"> sets</w:t>
      </w:r>
      <w:r w:rsidR="00FF5716" w:rsidRPr="00452C41">
        <w:rPr>
          <w:sz w:val="20"/>
          <w:szCs w:val="20"/>
        </w:rPr>
        <w:t xml:space="preserve"> of 10-12 repetitions for lower body exercises; the remaining session was a combination of the two previous days</w:t>
      </w:r>
      <w:r w:rsidR="00316481" w:rsidRPr="00452C41">
        <w:rPr>
          <w:sz w:val="20"/>
          <w:szCs w:val="20"/>
        </w:rPr>
        <w:t>.</w:t>
      </w:r>
      <w:bookmarkEnd w:id="3"/>
    </w:p>
    <w:p w14:paraId="12653487" w14:textId="2465B32D" w:rsidR="00B27D6A" w:rsidRPr="00452C41" w:rsidRDefault="00B27D6A" w:rsidP="00203B50">
      <w:pPr>
        <w:ind w:firstLine="720"/>
        <w:jc w:val="both"/>
        <w:outlineLvl w:val="0"/>
        <w:rPr>
          <w:sz w:val="20"/>
          <w:szCs w:val="20"/>
        </w:rPr>
      </w:pPr>
      <w:r w:rsidRPr="00452C41">
        <w:rPr>
          <w:sz w:val="20"/>
          <w:szCs w:val="20"/>
          <w:u w:val="single"/>
        </w:rPr>
        <w:t>Combin</w:t>
      </w:r>
      <w:r w:rsidR="00C15623" w:rsidRPr="00452C41">
        <w:rPr>
          <w:sz w:val="20"/>
          <w:szCs w:val="20"/>
          <w:u w:val="single"/>
        </w:rPr>
        <w:t>ation</w:t>
      </w:r>
      <w:r w:rsidRPr="00452C41">
        <w:rPr>
          <w:sz w:val="20"/>
          <w:szCs w:val="20"/>
          <w:u w:val="single"/>
        </w:rPr>
        <w:t xml:space="preserve"> Training</w:t>
      </w:r>
      <w:r w:rsidRPr="00452C41">
        <w:rPr>
          <w:sz w:val="20"/>
          <w:szCs w:val="20"/>
        </w:rPr>
        <w:t xml:space="preserve">: CT group consisted of three AT </w:t>
      </w:r>
      <w:r w:rsidR="00C15623" w:rsidRPr="00452C41">
        <w:rPr>
          <w:sz w:val="20"/>
          <w:szCs w:val="20"/>
        </w:rPr>
        <w:t xml:space="preserve">sessions </w:t>
      </w:r>
      <w:r w:rsidRPr="00452C41">
        <w:rPr>
          <w:sz w:val="20"/>
          <w:szCs w:val="20"/>
        </w:rPr>
        <w:t xml:space="preserve">plus </w:t>
      </w:r>
      <w:r w:rsidR="00E74456" w:rsidRPr="00452C41">
        <w:rPr>
          <w:sz w:val="20"/>
          <w:szCs w:val="20"/>
        </w:rPr>
        <w:t>two</w:t>
      </w:r>
      <w:r w:rsidR="00C15623" w:rsidRPr="00452C41">
        <w:rPr>
          <w:sz w:val="20"/>
          <w:szCs w:val="20"/>
        </w:rPr>
        <w:t xml:space="preserve"> </w:t>
      </w:r>
      <w:r w:rsidR="00E74456" w:rsidRPr="00452C41">
        <w:rPr>
          <w:sz w:val="20"/>
          <w:szCs w:val="20"/>
        </w:rPr>
        <w:t xml:space="preserve">to three </w:t>
      </w:r>
      <w:r w:rsidRPr="00452C41">
        <w:rPr>
          <w:sz w:val="20"/>
          <w:szCs w:val="20"/>
        </w:rPr>
        <w:t xml:space="preserve">RT sessions/week following a similar dosing schedule and intensity as for </w:t>
      </w:r>
      <w:r w:rsidR="00C15623" w:rsidRPr="00452C41">
        <w:rPr>
          <w:sz w:val="20"/>
          <w:szCs w:val="20"/>
        </w:rPr>
        <w:t xml:space="preserve">each </w:t>
      </w:r>
      <w:r w:rsidRPr="00452C41">
        <w:rPr>
          <w:sz w:val="20"/>
          <w:szCs w:val="20"/>
        </w:rPr>
        <w:t>single modality</w:t>
      </w:r>
      <w:r w:rsidR="00C15623" w:rsidRPr="00452C41">
        <w:rPr>
          <w:sz w:val="20"/>
          <w:szCs w:val="20"/>
        </w:rPr>
        <w:t xml:space="preserve"> prescription</w:t>
      </w:r>
      <w:r w:rsidRPr="00452C41">
        <w:rPr>
          <w:sz w:val="20"/>
          <w:szCs w:val="20"/>
        </w:rPr>
        <w:t xml:space="preserve"> (described </w:t>
      </w:r>
      <w:r w:rsidR="00C15623" w:rsidRPr="00452C41">
        <w:rPr>
          <w:sz w:val="20"/>
          <w:szCs w:val="20"/>
        </w:rPr>
        <w:t>above</w:t>
      </w:r>
      <w:r w:rsidRPr="00452C41">
        <w:rPr>
          <w:sz w:val="20"/>
          <w:szCs w:val="20"/>
        </w:rPr>
        <w:t>) for 30 to 90 mins/session. Of note, sequencing of AT and RT, both within each session and across the entire treatment period, was designed to exploit the complementary properties of AT and RT to augment CRF response. For instance, if planned AT intensity was &gt;80% VO</w:t>
      </w:r>
      <w:r w:rsidRPr="00452C41">
        <w:rPr>
          <w:sz w:val="20"/>
          <w:szCs w:val="20"/>
          <w:vertAlign w:val="subscript"/>
        </w:rPr>
        <w:t>2</w:t>
      </w:r>
      <w:r w:rsidRPr="00452C41">
        <w:rPr>
          <w:sz w:val="20"/>
          <w:szCs w:val="20"/>
        </w:rPr>
        <w:t xml:space="preserve">peak, RT intensity was implemented at a lower intensity and vice versa. We posited that such an approach might </w:t>
      </w:r>
      <w:r w:rsidR="008C1865" w:rsidRPr="00452C41">
        <w:rPr>
          <w:sz w:val="20"/>
          <w:szCs w:val="20"/>
        </w:rPr>
        <w:t xml:space="preserve">augment </w:t>
      </w:r>
      <w:r w:rsidRPr="00452C41">
        <w:rPr>
          <w:sz w:val="20"/>
          <w:szCs w:val="20"/>
        </w:rPr>
        <w:t xml:space="preserve">CRF </w:t>
      </w:r>
      <w:r w:rsidR="008C1865" w:rsidRPr="00452C41">
        <w:rPr>
          <w:sz w:val="20"/>
          <w:szCs w:val="20"/>
        </w:rPr>
        <w:t xml:space="preserve">response </w:t>
      </w:r>
      <w:r w:rsidRPr="00452C41">
        <w:rPr>
          <w:sz w:val="20"/>
          <w:szCs w:val="20"/>
        </w:rPr>
        <w:t>without causing excessive fatigue and avoiding potential interference effects.</w:t>
      </w:r>
    </w:p>
    <w:p w14:paraId="705B1C30" w14:textId="1144D474" w:rsidR="00B27D6A" w:rsidRPr="00452C41" w:rsidRDefault="00B27D6A" w:rsidP="00203B50">
      <w:pPr>
        <w:ind w:firstLine="720"/>
        <w:jc w:val="both"/>
        <w:outlineLvl w:val="0"/>
        <w:rPr>
          <w:sz w:val="20"/>
          <w:szCs w:val="20"/>
        </w:rPr>
      </w:pPr>
      <w:r w:rsidRPr="00452C41">
        <w:rPr>
          <w:sz w:val="20"/>
          <w:szCs w:val="20"/>
          <w:u w:val="single"/>
        </w:rPr>
        <w:t xml:space="preserve">Attention Control: </w:t>
      </w:r>
      <w:r w:rsidRPr="00452C41">
        <w:rPr>
          <w:sz w:val="20"/>
          <w:szCs w:val="20"/>
        </w:rPr>
        <w:t>AC consisted of 3 supervised stretching sessions per week, of 1</w:t>
      </w:r>
      <w:r w:rsidR="00E74456" w:rsidRPr="00452C41">
        <w:rPr>
          <w:sz w:val="20"/>
          <w:szCs w:val="20"/>
        </w:rPr>
        <w:t>0</w:t>
      </w:r>
      <w:r w:rsidRPr="00452C41">
        <w:rPr>
          <w:sz w:val="20"/>
          <w:szCs w:val="20"/>
        </w:rPr>
        <w:t xml:space="preserve"> to 20 different positions for 20 to 45 secs/stretch following a standardized progressive approach for a total of 20 – 45 min/session.</w:t>
      </w:r>
      <w:r w:rsidRPr="00452C41">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 </w:instrText>
      </w:r>
      <w:r w:rsidR="009F1998">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EN.CITE.DATA </w:instrText>
      </w:r>
      <w:r w:rsidR="009F1998">
        <w:rPr>
          <w:sz w:val="20"/>
          <w:szCs w:val="20"/>
        </w:rPr>
      </w:r>
      <w:r w:rsidR="009F1998">
        <w:rPr>
          <w:sz w:val="20"/>
          <w:szCs w:val="20"/>
        </w:rPr>
        <w:fldChar w:fldCharType="end"/>
      </w:r>
      <w:r w:rsidRPr="00452C41">
        <w:rPr>
          <w:sz w:val="20"/>
          <w:szCs w:val="20"/>
        </w:rPr>
      </w:r>
      <w:r w:rsidRPr="00452C41">
        <w:rPr>
          <w:sz w:val="20"/>
          <w:szCs w:val="20"/>
        </w:rPr>
        <w:fldChar w:fldCharType="separate"/>
      </w:r>
      <w:r w:rsidR="009F1998">
        <w:rPr>
          <w:noProof/>
          <w:sz w:val="20"/>
          <w:szCs w:val="20"/>
        </w:rPr>
        <w:t>[2]</w:t>
      </w:r>
      <w:r w:rsidRPr="00452C41">
        <w:rPr>
          <w:sz w:val="20"/>
          <w:szCs w:val="20"/>
        </w:rPr>
        <w:fldChar w:fldCharType="end"/>
      </w:r>
    </w:p>
    <w:p w14:paraId="09EB8E10" w14:textId="2CB5C04C" w:rsidR="008C1865" w:rsidRPr="00452C41" w:rsidRDefault="008C1865" w:rsidP="008C1865">
      <w:pPr>
        <w:jc w:val="both"/>
        <w:outlineLvl w:val="0"/>
        <w:rPr>
          <w:sz w:val="20"/>
          <w:szCs w:val="20"/>
          <w:u w:val="single"/>
        </w:rPr>
      </w:pPr>
    </w:p>
    <w:p w14:paraId="539EFE32" w14:textId="5295655A" w:rsidR="008C1865" w:rsidRPr="00452C41" w:rsidRDefault="008C1865" w:rsidP="008C1865">
      <w:pPr>
        <w:jc w:val="both"/>
        <w:outlineLvl w:val="0"/>
        <w:rPr>
          <w:b/>
          <w:sz w:val="20"/>
          <w:szCs w:val="20"/>
        </w:rPr>
      </w:pPr>
      <w:r w:rsidRPr="00452C41">
        <w:rPr>
          <w:b/>
          <w:sz w:val="20"/>
          <w:szCs w:val="20"/>
        </w:rPr>
        <w:t>Treatment Tolerability and Safety</w:t>
      </w:r>
    </w:p>
    <w:p w14:paraId="23FF93B7" w14:textId="0BF8A18C" w:rsidR="00B27D6A" w:rsidRPr="00452C41" w:rsidRDefault="00281325" w:rsidP="00385B2D">
      <w:pPr>
        <w:ind w:firstLine="720"/>
        <w:jc w:val="both"/>
        <w:outlineLvl w:val="0"/>
        <w:rPr>
          <w:sz w:val="20"/>
          <w:szCs w:val="20"/>
        </w:rPr>
      </w:pPr>
      <w:r w:rsidRPr="00452C41">
        <w:rPr>
          <w:sz w:val="20"/>
          <w:szCs w:val="20"/>
          <w:u w:val="single"/>
        </w:rPr>
        <w:t>Safety</w:t>
      </w:r>
      <w:r w:rsidR="00B27D6A" w:rsidRPr="00452C41">
        <w:rPr>
          <w:sz w:val="20"/>
          <w:szCs w:val="20"/>
          <w:u w:val="single"/>
        </w:rPr>
        <w:t>:</w:t>
      </w:r>
      <w:r w:rsidRPr="00452C41">
        <w:rPr>
          <w:sz w:val="20"/>
          <w:szCs w:val="20"/>
        </w:rPr>
        <w:t xml:space="preserve"> </w:t>
      </w:r>
      <w:r w:rsidR="00B27D6A" w:rsidRPr="00452C41">
        <w:rPr>
          <w:sz w:val="20"/>
          <w:szCs w:val="20"/>
        </w:rPr>
        <w:t>Safety of</w:t>
      </w:r>
      <w:r w:rsidRPr="00452C41">
        <w:rPr>
          <w:sz w:val="20"/>
          <w:szCs w:val="20"/>
        </w:rPr>
        <w:t xml:space="preserve"> each </w:t>
      </w:r>
      <w:r w:rsidR="00C15623" w:rsidRPr="00452C41">
        <w:rPr>
          <w:sz w:val="20"/>
          <w:szCs w:val="20"/>
        </w:rPr>
        <w:t xml:space="preserve">exercise </w:t>
      </w:r>
      <w:r w:rsidRPr="00452C41">
        <w:rPr>
          <w:sz w:val="20"/>
          <w:szCs w:val="20"/>
        </w:rPr>
        <w:t>session was evaluated using a combination of heart rate (continuous</w:t>
      </w:r>
      <w:r w:rsidR="00033AF8" w:rsidRPr="00452C41">
        <w:rPr>
          <w:sz w:val="20"/>
          <w:szCs w:val="20"/>
        </w:rPr>
        <w:t>), blood pressure (every 10 minutes</w:t>
      </w:r>
      <w:r w:rsidRPr="00452C41">
        <w:rPr>
          <w:sz w:val="20"/>
          <w:szCs w:val="20"/>
        </w:rPr>
        <w:t>),</w:t>
      </w:r>
      <w:r w:rsidR="00033AF8" w:rsidRPr="00452C41">
        <w:rPr>
          <w:sz w:val="20"/>
          <w:szCs w:val="20"/>
        </w:rPr>
        <w:t xml:space="preserve"> oxygen saturation (every 5 minutes)</w:t>
      </w:r>
      <w:r w:rsidRPr="00452C41">
        <w:rPr>
          <w:sz w:val="20"/>
          <w:szCs w:val="20"/>
        </w:rPr>
        <w:t xml:space="preserve"> and rate of p</w:t>
      </w:r>
      <w:r w:rsidR="00033AF8" w:rsidRPr="00452C41">
        <w:rPr>
          <w:sz w:val="20"/>
          <w:szCs w:val="20"/>
        </w:rPr>
        <w:t>erceived exertion (every 15 minutes</w:t>
      </w:r>
      <w:r w:rsidRPr="00452C41">
        <w:rPr>
          <w:sz w:val="20"/>
          <w:szCs w:val="20"/>
        </w:rPr>
        <w:t xml:space="preserve">). Dose modification of any session was permitted and performed by the exercise physiologist monitoring each session using standardized criteria defined in the study protocol (for dose-modification guidelines see </w:t>
      </w:r>
      <w:r w:rsidRPr="00452C41">
        <w:rPr>
          <w:b/>
          <w:sz w:val="20"/>
          <w:szCs w:val="20"/>
        </w:rPr>
        <w:t xml:space="preserve">Table </w:t>
      </w:r>
      <w:r w:rsidR="005A7E23" w:rsidRPr="00452C41">
        <w:rPr>
          <w:b/>
          <w:sz w:val="20"/>
          <w:szCs w:val="20"/>
        </w:rPr>
        <w:t>S</w:t>
      </w:r>
      <w:r w:rsidRPr="00452C41">
        <w:rPr>
          <w:b/>
          <w:sz w:val="20"/>
          <w:szCs w:val="20"/>
        </w:rPr>
        <w:t>1)</w:t>
      </w:r>
      <w:r w:rsidRPr="00452C41">
        <w:rPr>
          <w:sz w:val="20"/>
          <w:szCs w:val="20"/>
        </w:rPr>
        <w:t xml:space="preserve">. </w:t>
      </w:r>
    </w:p>
    <w:p w14:paraId="220D1749" w14:textId="6C979718" w:rsidR="00C858BC" w:rsidRPr="00452C41" w:rsidRDefault="008C1865" w:rsidP="00A85219">
      <w:pPr>
        <w:ind w:firstLine="720"/>
        <w:jc w:val="both"/>
        <w:outlineLvl w:val="0"/>
        <w:rPr>
          <w:sz w:val="20"/>
          <w:szCs w:val="20"/>
        </w:rPr>
      </w:pPr>
      <w:r w:rsidRPr="00452C41">
        <w:rPr>
          <w:sz w:val="20"/>
          <w:szCs w:val="20"/>
          <w:u w:val="single"/>
        </w:rPr>
        <w:t>Tolerability</w:t>
      </w:r>
      <w:r w:rsidR="00B27D6A" w:rsidRPr="00452C41">
        <w:rPr>
          <w:sz w:val="20"/>
          <w:szCs w:val="20"/>
          <w:u w:val="single"/>
        </w:rPr>
        <w:t>:</w:t>
      </w:r>
      <w:r w:rsidR="00B27D6A" w:rsidRPr="00452C41">
        <w:rPr>
          <w:sz w:val="20"/>
          <w:szCs w:val="20"/>
        </w:rPr>
        <w:t xml:space="preserve"> </w:t>
      </w:r>
      <w:r w:rsidRPr="00452C41">
        <w:rPr>
          <w:sz w:val="20"/>
          <w:szCs w:val="20"/>
        </w:rPr>
        <w:t>Treatment tolerability</w:t>
      </w:r>
      <w:r w:rsidR="00281325" w:rsidRPr="00452C41">
        <w:rPr>
          <w:sz w:val="20"/>
          <w:szCs w:val="20"/>
        </w:rPr>
        <w:t xml:space="preserve"> was evaluated via standardized recording of session attendance as well as adherence to the planned dose</w:t>
      </w:r>
      <w:r w:rsidR="00C15623" w:rsidRPr="00452C41">
        <w:rPr>
          <w:sz w:val="20"/>
          <w:szCs w:val="20"/>
        </w:rPr>
        <w:t xml:space="preserve"> of each </w:t>
      </w:r>
      <w:r w:rsidR="00281325" w:rsidRPr="00452C41">
        <w:rPr>
          <w:sz w:val="20"/>
          <w:szCs w:val="20"/>
        </w:rPr>
        <w:t xml:space="preserve">session. The exercise physiologist reported all modifications to the planned treatment dose using a standardized template. </w:t>
      </w:r>
    </w:p>
    <w:p w14:paraId="08567F1C" w14:textId="4CEC2CAB" w:rsidR="00C858BC" w:rsidRPr="00452C41" w:rsidRDefault="00C858BC" w:rsidP="00A85219">
      <w:pPr>
        <w:ind w:firstLine="720"/>
        <w:jc w:val="both"/>
        <w:outlineLvl w:val="0"/>
        <w:rPr>
          <w:sz w:val="20"/>
          <w:szCs w:val="20"/>
        </w:rPr>
      </w:pPr>
      <w:r w:rsidRPr="00452C41">
        <w:rPr>
          <w:sz w:val="20"/>
          <w:szCs w:val="20"/>
        </w:rPr>
        <w:t>I</w:t>
      </w:r>
      <w:r w:rsidR="008C1865" w:rsidRPr="00452C41">
        <w:rPr>
          <w:sz w:val="20"/>
          <w:szCs w:val="20"/>
        </w:rPr>
        <w:t xml:space="preserve">n AT, </w:t>
      </w:r>
      <w:r w:rsidR="005A2748" w:rsidRPr="00452C41">
        <w:rPr>
          <w:sz w:val="20"/>
          <w:szCs w:val="20"/>
        </w:rPr>
        <w:t>“</w:t>
      </w:r>
      <w:r w:rsidR="008C1865" w:rsidRPr="00452C41">
        <w:rPr>
          <w:sz w:val="20"/>
          <w:szCs w:val="20"/>
        </w:rPr>
        <w:t>p</w:t>
      </w:r>
      <w:r w:rsidR="005A2748" w:rsidRPr="00452C41">
        <w:rPr>
          <w:sz w:val="20"/>
          <w:szCs w:val="20"/>
        </w:rPr>
        <w:t>lanned” dose of all</w:t>
      </w:r>
      <w:r w:rsidR="00A82DB4" w:rsidRPr="00452C41">
        <w:rPr>
          <w:sz w:val="20"/>
          <w:szCs w:val="20"/>
        </w:rPr>
        <w:t xml:space="preserve"> sessions was quantified as </w:t>
      </w:r>
      <w:proofErr w:type="spellStart"/>
      <w:r w:rsidR="00A82DB4" w:rsidRPr="00452C41">
        <w:rPr>
          <w:sz w:val="20"/>
          <w:szCs w:val="20"/>
        </w:rPr>
        <w:t>MET</w:t>
      </w:r>
      <w:r w:rsidR="008C1865" w:rsidRPr="00452C41">
        <w:rPr>
          <w:sz w:val="20"/>
          <w:szCs w:val="20"/>
          <w:vertAlign w:val="superscript"/>
        </w:rPr>
        <w:t>.</w:t>
      </w:r>
      <w:r w:rsidR="008C1865" w:rsidRPr="00452C41">
        <w:rPr>
          <w:sz w:val="20"/>
          <w:szCs w:val="20"/>
        </w:rPr>
        <w:t>hrs</w:t>
      </w:r>
      <w:proofErr w:type="spellEnd"/>
      <w:r w:rsidR="008C1865" w:rsidRPr="00452C41" w:rsidDel="008C1865">
        <w:rPr>
          <w:sz w:val="20"/>
          <w:szCs w:val="20"/>
        </w:rPr>
        <w:t xml:space="preserve"> </w:t>
      </w:r>
      <w:r w:rsidR="005A2748" w:rsidRPr="00452C41">
        <w:rPr>
          <w:sz w:val="20"/>
          <w:szCs w:val="20"/>
        </w:rPr>
        <w:t>/session. The “planned” intensity of each session was multiplied by the corresponding session duration to calculate MET/session; all sessions were summed to derive total “planned” cumulative MET-hours (</w:t>
      </w:r>
      <w:proofErr w:type="spellStart"/>
      <w:r w:rsidR="005A2748" w:rsidRPr="00452C41">
        <w:rPr>
          <w:sz w:val="20"/>
          <w:szCs w:val="20"/>
        </w:rPr>
        <w:t>MET</w:t>
      </w:r>
      <w:r w:rsidR="005A2748" w:rsidRPr="00452C41">
        <w:rPr>
          <w:sz w:val="20"/>
          <w:szCs w:val="20"/>
          <w:vertAlign w:val="superscript"/>
        </w:rPr>
        <w:t>.</w:t>
      </w:r>
      <w:r w:rsidR="005A2748" w:rsidRPr="00452C41">
        <w:rPr>
          <w:sz w:val="20"/>
          <w:szCs w:val="20"/>
        </w:rPr>
        <w:t>hrs</w:t>
      </w:r>
      <w:proofErr w:type="spellEnd"/>
      <w:r w:rsidR="005A2748" w:rsidRPr="00452C41">
        <w:rPr>
          <w:sz w:val="20"/>
          <w:szCs w:val="20"/>
        </w:rPr>
        <w:t>)/patient.</w:t>
      </w:r>
      <w:r w:rsidR="00150C1F" w:rsidRPr="00452C41">
        <w:rPr>
          <w:sz w:val="20"/>
          <w:szCs w:val="20"/>
        </w:rPr>
        <w:fldChar w:fldCharType="begin"/>
      </w:r>
      <w:r w:rsidR="009F1998">
        <w:rPr>
          <w:sz w:val="20"/>
          <w:szCs w:val="20"/>
        </w:rPr>
        <w:instrText xml:space="preserve"> ADDIN EN.CITE &lt;EndNote&gt;&lt;Cite&gt;&lt;Author&gt;Nilsen&lt;/Author&gt;&lt;Year&gt;2018&lt;/Year&gt;&lt;RecNum&gt;6207&lt;/RecNum&gt;&lt;DisplayText&gt;[3]&lt;/DisplayText&gt;&lt;record&gt;&lt;rec-number&gt;6207&lt;/rec-number&gt;&lt;foreign-keys&gt;&lt;key app="EN" db-id="2srdt0z920029oepvvmpfxf4ppxfedpt95xt" timestamp="1553528193"&gt;6207&lt;/key&gt;&lt;/foreign-keys&gt;&lt;ref-type name="Journal Article"&gt;17&lt;/ref-type&gt;&lt;contributors&gt;&lt;authors&gt;&lt;author&gt;Nilsen, T. S.&lt;/author&gt;&lt;author&gt;Scott, J. M.&lt;/author&gt;&lt;author&gt;Michalski, M.&lt;/author&gt;&lt;author&gt;Capaci, C.&lt;/author&gt;&lt;author&gt;Thomas, S.&lt;/author&gt;&lt;author&gt;Herndon, J. E., 2nd&lt;/author&gt;&lt;author&gt;Sasso, J.&lt;/author&gt;&lt;author&gt;Eves, N. D.&lt;/author&gt;&lt;author&gt;Jones, L. W.&lt;/author&gt;&lt;/authors&gt;&lt;/contributors&gt;&lt;auth-address&gt;Department of Physical Performance, The Norwegian School of Sport Sciences, Oslo, NORWAY.&amp;#xD;Memorial Sloan Kettering Cancer Center, New York, NY.&amp;#xD;Weill Cornell Medical College, New York, NY.&amp;#xD;Duke University Medical Center, Durham, NC.&amp;#xD;Centre for Heart, Lung and Vascular Health, School of Health and Exercise Sciences, University of British Columbia Okanagan, Kelowna, British Columbia, CANADA.&lt;/auth-address&gt;&lt;titles&gt;&lt;title&gt;Novel Methods for Reporting of Exercise Dose and Adherence: An Exploratory Analysis&lt;/title&gt;&lt;secondary-title&gt;Med Sci Sports Exerc&lt;/secondary-title&gt;&lt;/titles&gt;&lt;periodical&gt;&lt;full-title&gt;Med Sci Sports Exerc&lt;/full-title&gt;&lt;/periodical&gt;&lt;pages&gt;1134-1141&lt;/pages&gt;&lt;volume&gt;50&lt;/volume&gt;&lt;number&gt;6&lt;/number&gt;&lt;dates&gt;&lt;year&gt;2018&lt;/year&gt;&lt;pub-dates&gt;&lt;date&gt;Jun&lt;/date&gt;&lt;/pub-dates&gt;&lt;/dates&gt;&lt;isbn&gt;1530-0315 (Electronic)&amp;#xD;0195-9131 (Linking)&lt;/isbn&gt;&lt;accession-num&gt;29315168&lt;/accession-num&gt;&lt;urls&gt;&lt;related-urls&gt;&lt;url&gt;https://www.ncbi.nlm.nih.gov/pubmed/29315168&lt;/url&gt;&lt;/related-urls&gt;&lt;/urls&gt;&lt;custom2&gt;PMC5953772&lt;/custom2&gt;&lt;electronic-resource-num&gt;10.1249/MSS.0000000000001545&lt;/electronic-resource-num&gt;&lt;/record&gt;&lt;/Cite&gt;&lt;/EndNote&gt;</w:instrText>
      </w:r>
      <w:r w:rsidR="00150C1F" w:rsidRPr="00452C41">
        <w:rPr>
          <w:sz w:val="20"/>
          <w:szCs w:val="20"/>
        </w:rPr>
        <w:fldChar w:fldCharType="separate"/>
      </w:r>
      <w:r w:rsidR="009F1998">
        <w:rPr>
          <w:noProof/>
          <w:sz w:val="20"/>
          <w:szCs w:val="20"/>
        </w:rPr>
        <w:t>[3]</w:t>
      </w:r>
      <w:r w:rsidR="00150C1F" w:rsidRPr="00452C41">
        <w:rPr>
          <w:sz w:val="20"/>
          <w:szCs w:val="20"/>
        </w:rPr>
        <w:fldChar w:fldCharType="end"/>
      </w:r>
      <w:r w:rsidR="005A2748" w:rsidRPr="00452C41">
        <w:rPr>
          <w:sz w:val="20"/>
          <w:szCs w:val="20"/>
        </w:rPr>
        <w:t xml:space="preserve"> </w:t>
      </w:r>
      <w:r w:rsidR="008C1865" w:rsidRPr="00452C41">
        <w:rPr>
          <w:sz w:val="20"/>
          <w:szCs w:val="20"/>
        </w:rPr>
        <w:t xml:space="preserve">AT sessions </w:t>
      </w:r>
      <w:r w:rsidR="005A2748" w:rsidRPr="00452C41">
        <w:rPr>
          <w:sz w:val="20"/>
          <w:szCs w:val="20"/>
        </w:rPr>
        <w:t xml:space="preserve">in Weeks 1 to </w:t>
      </w:r>
      <w:r w:rsidR="00570DC9" w:rsidRPr="00452C41">
        <w:rPr>
          <w:sz w:val="20"/>
          <w:szCs w:val="20"/>
        </w:rPr>
        <w:t>8</w:t>
      </w:r>
      <w:r w:rsidR="005A2748" w:rsidRPr="00452C41">
        <w:rPr>
          <w:sz w:val="20"/>
          <w:szCs w:val="20"/>
        </w:rPr>
        <w:t xml:space="preserve"> and </w:t>
      </w:r>
      <w:r w:rsidR="00570DC9" w:rsidRPr="00452C41">
        <w:rPr>
          <w:sz w:val="20"/>
          <w:szCs w:val="20"/>
        </w:rPr>
        <w:t>9</w:t>
      </w:r>
      <w:r w:rsidR="005A2748" w:rsidRPr="00452C41">
        <w:rPr>
          <w:sz w:val="20"/>
          <w:szCs w:val="20"/>
        </w:rPr>
        <w:t xml:space="preserve"> to </w:t>
      </w:r>
      <w:r w:rsidR="00570DC9" w:rsidRPr="00452C41">
        <w:rPr>
          <w:sz w:val="20"/>
          <w:szCs w:val="20"/>
        </w:rPr>
        <w:t>16</w:t>
      </w:r>
      <w:r w:rsidR="005A2748" w:rsidRPr="00452C41">
        <w:rPr>
          <w:sz w:val="20"/>
          <w:szCs w:val="20"/>
        </w:rPr>
        <w:t xml:space="preserve"> were quantified using baseline and midpoint CPET data, respectively. Calculation of “completed” METs was quantified as the actual intensity and duration of each attended session. The average METs was assigned to sessions in which intensity was reduced (during the session), whereas missed sessions were assigned zero METs. All sessions were summed to derive total “completed” cumulative MET-hours (</w:t>
      </w:r>
      <w:proofErr w:type="spellStart"/>
      <w:r w:rsidR="005A2748" w:rsidRPr="00452C41">
        <w:rPr>
          <w:sz w:val="20"/>
          <w:szCs w:val="20"/>
        </w:rPr>
        <w:t>MET</w:t>
      </w:r>
      <w:r w:rsidR="005A2748" w:rsidRPr="00452C41">
        <w:rPr>
          <w:sz w:val="20"/>
          <w:szCs w:val="20"/>
          <w:vertAlign w:val="superscript"/>
        </w:rPr>
        <w:t>.</w:t>
      </w:r>
      <w:r w:rsidR="005A2748" w:rsidRPr="00452C41">
        <w:rPr>
          <w:sz w:val="20"/>
          <w:szCs w:val="20"/>
        </w:rPr>
        <w:t>hrs</w:t>
      </w:r>
      <w:proofErr w:type="spellEnd"/>
      <w:r w:rsidR="005A2748" w:rsidRPr="00452C41">
        <w:rPr>
          <w:sz w:val="20"/>
          <w:szCs w:val="20"/>
        </w:rPr>
        <w:t xml:space="preserve">)/patient.” </w:t>
      </w:r>
      <w:r w:rsidR="008134C7" w:rsidRPr="00452C41">
        <w:rPr>
          <w:sz w:val="20"/>
          <w:szCs w:val="20"/>
        </w:rPr>
        <w:t>R</w:t>
      </w:r>
      <w:r w:rsidR="00281325" w:rsidRPr="00452C41">
        <w:rPr>
          <w:sz w:val="20"/>
          <w:szCs w:val="20"/>
        </w:rPr>
        <w:t>elative dose intensity (RDI) defined as the rati</w:t>
      </w:r>
      <w:r w:rsidR="00150C1F" w:rsidRPr="00452C41">
        <w:rPr>
          <w:sz w:val="20"/>
          <w:szCs w:val="20"/>
        </w:rPr>
        <w:t>o of total “completed” to total</w:t>
      </w:r>
      <w:r w:rsidR="00281325" w:rsidRPr="00452C41">
        <w:rPr>
          <w:sz w:val="20"/>
          <w:szCs w:val="20"/>
        </w:rPr>
        <w:t xml:space="preserve"> “planned” cumulative dose.</w:t>
      </w:r>
      <w:r w:rsidR="00150C1F" w:rsidRPr="00452C41">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 </w:instrText>
      </w:r>
      <w:r w:rsidR="009F1998">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EN.CITE.DATA </w:instrText>
      </w:r>
      <w:r w:rsidR="009F1998">
        <w:rPr>
          <w:sz w:val="20"/>
          <w:szCs w:val="20"/>
        </w:rPr>
      </w:r>
      <w:r w:rsidR="009F1998">
        <w:rPr>
          <w:sz w:val="20"/>
          <w:szCs w:val="20"/>
        </w:rPr>
        <w:fldChar w:fldCharType="end"/>
      </w:r>
      <w:r w:rsidR="00150C1F" w:rsidRPr="00452C41">
        <w:rPr>
          <w:sz w:val="20"/>
          <w:szCs w:val="20"/>
        </w:rPr>
      </w:r>
      <w:r w:rsidR="00150C1F" w:rsidRPr="00452C41">
        <w:rPr>
          <w:sz w:val="20"/>
          <w:szCs w:val="20"/>
        </w:rPr>
        <w:fldChar w:fldCharType="separate"/>
      </w:r>
      <w:r w:rsidR="009F1998">
        <w:rPr>
          <w:noProof/>
          <w:sz w:val="20"/>
          <w:szCs w:val="20"/>
        </w:rPr>
        <w:t>[2]</w:t>
      </w:r>
      <w:r w:rsidR="00150C1F" w:rsidRPr="00452C41">
        <w:rPr>
          <w:sz w:val="20"/>
          <w:szCs w:val="20"/>
        </w:rPr>
        <w:fldChar w:fldCharType="end"/>
      </w:r>
      <w:r w:rsidR="00281325" w:rsidRPr="00452C41">
        <w:rPr>
          <w:sz w:val="20"/>
          <w:szCs w:val="20"/>
        </w:rPr>
        <w:t xml:space="preserve"> </w:t>
      </w:r>
      <w:r w:rsidR="00DF28B1" w:rsidRPr="00452C41">
        <w:rPr>
          <w:sz w:val="20"/>
          <w:szCs w:val="20"/>
        </w:rPr>
        <w:t xml:space="preserve">For context, 45 mins at 30 Watts is equivalent to 1.32 </w:t>
      </w:r>
      <w:proofErr w:type="spellStart"/>
      <w:r w:rsidR="00DF28B1" w:rsidRPr="00452C41">
        <w:rPr>
          <w:sz w:val="20"/>
          <w:szCs w:val="20"/>
        </w:rPr>
        <w:t>MET</w:t>
      </w:r>
      <w:r w:rsidR="0073082C" w:rsidRPr="00452C41">
        <w:rPr>
          <w:sz w:val="20"/>
          <w:szCs w:val="20"/>
          <w:vertAlign w:val="superscript"/>
        </w:rPr>
        <w:t>.</w:t>
      </w:r>
      <w:r w:rsidR="0073082C" w:rsidRPr="00452C41">
        <w:rPr>
          <w:sz w:val="20"/>
          <w:szCs w:val="20"/>
        </w:rPr>
        <w:t>hrs</w:t>
      </w:r>
      <w:proofErr w:type="spellEnd"/>
      <w:r w:rsidR="0073082C" w:rsidRPr="00452C41" w:rsidDel="0073082C">
        <w:rPr>
          <w:sz w:val="20"/>
          <w:szCs w:val="20"/>
        </w:rPr>
        <w:t xml:space="preserve"> </w:t>
      </w:r>
      <w:r w:rsidR="00DF28B1" w:rsidRPr="00452C41">
        <w:rPr>
          <w:sz w:val="20"/>
          <w:szCs w:val="20"/>
        </w:rPr>
        <w:t>/session</w:t>
      </w:r>
      <w:r w:rsidR="0073082C" w:rsidRPr="00452C41">
        <w:rPr>
          <w:sz w:val="20"/>
          <w:szCs w:val="20"/>
        </w:rPr>
        <w:t>;</w:t>
      </w:r>
      <w:r w:rsidR="00DF28B1" w:rsidRPr="00452C41">
        <w:rPr>
          <w:sz w:val="20"/>
          <w:szCs w:val="20"/>
        </w:rPr>
        <w:t xml:space="preserve"> 20 mins at 82 Watts is equivalent to 1.08 </w:t>
      </w:r>
      <w:proofErr w:type="spellStart"/>
      <w:r w:rsidR="00DF28B1" w:rsidRPr="00452C41">
        <w:rPr>
          <w:sz w:val="20"/>
          <w:szCs w:val="20"/>
        </w:rPr>
        <w:t>MET</w:t>
      </w:r>
      <w:r w:rsidR="008C1865" w:rsidRPr="00452C41">
        <w:rPr>
          <w:sz w:val="20"/>
          <w:szCs w:val="20"/>
          <w:vertAlign w:val="superscript"/>
        </w:rPr>
        <w:t>.</w:t>
      </w:r>
      <w:r w:rsidR="008C1865" w:rsidRPr="00452C41">
        <w:rPr>
          <w:sz w:val="20"/>
          <w:szCs w:val="20"/>
        </w:rPr>
        <w:t>hrs</w:t>
      </w:r>
      <w:proofErr w:type="spellEnd"/>
      <w:r w:rsidR="008C1865" w:rsidRPr="00452C41" w:rsidDel="008C1865">
        <w:rPr>
          <w:sz w:val="20"/>
          <w:szCs w:val="20"/>
        </w:rPr>
        <w:t xml:space="preserve"> </w:t>
      </w:r>
      <w:r w:rsidR="00DF28B1" w:rsidRPr="00452C41">
        <w:rPr>
          <w:sz w:val="20"/>
          <w:szCs w:val="20"/>
        </w:rPr>
        <w:t xml:space="preserve">/session. </w:t>
      </w:r>
      <w:bookmarkStart w:id="4" w:name="_Hlk27393363"/>
      <w:bookmarkStart w:id="5" w:name="_Hlk27296093"/>
    </w:p>
    <w:p w14:paraId="257B3607" w14:textId="77777777" w:rsidR="008E4AA1" w:rsidRPr="00452C41" w:rsidRDefault="00A85219" w:rsidP="00A13D5B">
      <w:pPr>
        <w:ind w:firstLine="720"/>
        <w:jc w:val="both"/>
        <w:outlineLvl w:val="0"/>
        <w:rPr>
          <w:szCs w:val="22"/>
        </w:rPr>
      </w:pPr>
      <w:r w:rsidRPr="00452C41">
        <w:rPr>
          <w:sz w:val="20"/>
          <w:szCs w:val="20"/>
        </w:rPr>
        <w:t>I</w:t>
      </w:r>
      <w:r w:rsidR="00FD4820" w:rsidRPr="00452C41">
        <w:rPr>
          <w:sz w:val="20"/>
          <w:szCs w:val="20"/>
        </w:rPr>
        <w:t xml:space="preserve">n </w:t>
      </w:r>
      <w:r w:rsidR="0033612A" w:rsidRPr="00452C41">
        <w:rPr>
          <w:sz w:val="20"/>
          <w:szCs w:val="20"/>
        </w:rPr>
        <w:t>R</w:t>
      </w:r>
      <w:r w:rsidR="00FD4820" w:rsidRPr="00452C41">
        <w:rPr>
          <w:sz w:val="20"/>
          <w:szCs w:val="20"/>
        </w:rPr>
        <w:t xml:space="preserve">T, “planned” dose of all </w:t>
      </w:r>
      <w:r w:rsidR="00A13D5B" w:rsidRPr="00452C41">
        <w:rPr>
          <w:sz w:val="20"/>
          <w:szCs w:val="20"/>
        </w:rPr>
        <w:t xml:space="preserve">resistance </w:t>
      </w:r>
      <w:r w:rsidR="00C15623" w:rsidRPr="00452C41">
        <w:rPr>
          <w:sz w:val="20"/>
          <w:szCs w:val="20"/>
        </w:rPr>
        <w:t xml:space="preserve">exercises in each </w:t>
      </w:r>
      <w:r w:rsidR="00FD4820" w:rsidRPr="00452C41">
        <w:rPr>
          <w:sz w:val="20"/>
          <w:szCs w:val="20"/>
        </w:rPr>
        <w:t xml:space="preserve">session was quantified as </w:t>
      </w:r>
      <w:r w:rsidR="00C15623" w:rsidRPr="00452C41">
        <w:rPr>
          <w:sz w:val="20"/>
          <w:szCs w:val="20"/>
        </w:rPr>
        <w:t>v</w:t>
      </w:r>
      <w:r w:rsidR="0033612A" w:rsidRPr="00452C41">
        <w:rPr>
          <w:sz w:val="20"/>
          <w:szCs w:val="20"/>
        </w:rPr>
        <w:t xml:space="preserve">olume </w:t>
      </w:r>
      <w:r w:rsidR="00C15623" w:rsidRPr="00452C41">
        <w:rPr>
          <w:sz w:val="20"/>
          <w:szCs w:val="20"/>
        </w:rPr>
        <w:t>l</w:t>
      </w:r>
      <w:r w:rsidR="0033612A" w:rsidRPr="00452C41">
        <w:rPr>
          <w:sz w:val="20"/>
          <w:szCs w:val="20"/>
        </w:rPr>
        <w:t>oad/exercise</w:t>
      </w:r>
      <w:r w:rsidR="00FD4820" w:rsidRPr="00452C41">
        <w:rPr>
          <w:sz w:val="20"/>
          <w:szCs w:val="20"/>
        </w:rPr>
        <w:t xml:space="preserve">. The “planned” intensity of </w:t>
      </w:r>
      <w:r w:rsidR="00A13D5B" w:rsidRPr="00452C41">
        <w:rPr>
          <w:sz w:val="20"/>
          <w:szCs w:val="20"/>
        </w:rPr>
        <w:t xml:space="preserve">all resistance exercises in a given </w:t>
      </w:r>
      <w:r w:rsidR="00FD4820" w:rsidRPr="00452C41">
        <w:rPr>
          <w:sz w:val="20"/>
          <w:szCs w:val="20"/>
        </w:rPr>
        <w:t>session wa</w:t>
      </w:r>
      <w:r w:rsidR="0033612A" w:rsidRPr="00452C41">
        <w:rPr>
          <w:sz w:val="20"/>
          <w:szCs w:val="20"/>
        </w:rPr>
        <w:t xml:space="preserve">s calculated by multiplying sets, repetitions and weight </w:t>
      </w:r>
      <w:r w:rsidR="00FD4820" w:rsidRPr="00452C41">
        <w:rPr>
          <w:sz w:val="20"/>
          <w:szCs w:val="20"/>
        </w:rPr>
        <w:t xml:space="preserve">to calculate </w:t>
      </w:r>
      <w:r w:rsidR="00C15623" w:rsidRPr="00452C41">
        <w:rPr>
          <w:sz w:val="20"/>
          <w:szCs w:val="20"/>
        </w:rPr>
        <w:t>v</w:t>
      </w:r>
      <w:r w:rsidR="0033612A" w:rsidRPr="00452C41">
        <w:rPr>
          <w:sz w:val="20"/>
          <w:szCs w:val="20"/>
        </w:rPr>
        <w:t xml:space="preserve">olume </w:t>
      </w:r>
      <w:r w:rsidR="00C15623" w:rsidRPr="00452C41">
        <w:rPr>
          <w:sz w:val="20"/>
          <w:szCs w:val="20"/>
        </w:rPr>
        <w:t>l</w:t>
      </w:r>
      <w:r w:rsidR="0033612A" w:rsidRPr="00452C41">
        <w:rPr>
          <w:sz w:val="20"/>
          <w:szCs w:val="20"/>
        </w:rPr>
        <w:t>oad</w:t>
      </w:r>
      <w:r w:rsidR="00FD4820" w:rsidRPr="00452C41">
        <w:rPr>
          <w:sz w:val="20"/>
          <w:szCs w:val="20"/>
        </w:rPr>
        <w:t>/</w:t>
      </w:r>
      <w:r w:rsidR="00A13D5B" w:rsidRPr="00452C41">
        <w:rPr>
          <w:sz w:val="20"/>
          <w:szCs w:val="20"/>
        </w:rPr>
        <w:t>session</w:t>
      </w:r>
      <w:r w:rsidR="00FD4820" w:rsidRPr="00452C41">
        <w:rPr>
          <w:sz w:val="20"/>
          <w:szCs w:val="20"/>
        </w:rPr>
        <w:t xml:space="preserve">; all sessions were summed to derive total “planned” cumulative </w:t>
      </w:r>
      <w:r w:rsidR="00A13D5B" w:rsidRPr="00452C41">
        <w:rPr>
          <w:sz w:val="20"/>
          <w:szCs w:val="20"/>
        </w:rPr>
        <w:t>v</w:t>
      </w:r>
      <w:r w:rsidR="0033612A" w:rsidRPr="00452C41">
        <w:rPr>
          <w:sz w:val="20"/>
          <w:szCs w:val="20"/>
        </w:rPr>
        <w:t xml:space="preserve">olume </w:t>
      </w:r>
      <w:r w:rsidR="00A13D5B" w:rsidRPr="00452C41">
        <w:rPr>
          <w:sz w:val="20"/>
          <w:szCs w:val="20"/>
        </w:rPr>
        <w:t>l</w:t>
      </w:r>
      <w:r w:rsidR="0033612A" w:rsidRPr="00452C41">
        <w:rPr>
          <w:sz w:val="20"/>
          <w:szCs w:val="20"/>
        </w:rPr>
        <w:t>oad</w:t>
      </w:r>
      <w:r w:rsidR="00FD4820" w:rsidRPr="00452C41">
        <w:rPr>
          <w:sz w:val="20"/>
          <w:szCs w:val="20"/>
        </w:rPr>
        <w:t xml:space="preserve"> (</w:t>
      </w:r>
      <w:r w:rsidR="0033612A" w:rsidRPr="00452C41">
        <w:rPr>
          <w:sz w:val="20"/>
          <w:szCs w:val="20"/>
        </w:rPr>
        <w:t>volume loa</w:t>
      </w:r>
      <w:r w:rsidR="00A13D5B" w:rsidRPr="00452C41">
        <w:rPr>
          <w:sz w:val="20"/>
          <w:szCs w:val="20"/>
        </w:rPr>
        <w:t>d</w:t>
      </w:r>
      <w:r w:rsidR="00FD4820" w:rsidRPr="00452C41">
        <w:rPr>
          <w:sz w:val="20"/>
          <w:szCs w:val="20"/>
        </w:rPr>
        <w:t>/</w:t>
      </w:r>
      <w:r w:rsidR="00A13D5B" w:rsidRPr="00452C41">
        <w:rPr>
          <w:sz w:val="20"/>
          <w:szCs w:val="20"/>
        </w:rPr>
        <w:t>patient)</w:t>
      </w:r>
      <w:r w:rsidR="00FD4820" w:rsidRPr="00452C41">
        <w:rPr>
          <w:sz w:val="20"/>
          <w:szCs w:val="20"/>
        </w:rPr>
        <w:t xml:space="preserve">. </w:t>
      </w:r>
      <w:r w:rsidR="0033612A" w:rsidRPr="00452C41">
        <w:rPr>
          <w:sz w:val="20"/>
          <w:szCs w:val="20"/>
        </w:rPr>
        <w:t>R</w:t>
      </w:r>
      <w:r w:rsidR="00FD4820" w:rsidRPr="00452C41">
        <w:rPr>
          <w:sz w:val="20"/>
          <w:szCs w:val="20"/>
        </w:rPr>
        <w:t xml:space="preserve">T sessions in </w:t>
      </w:r>
      <w:r w:rsidR="009105DA" w:rsidRPr="00452C41">
        <w:rPr>
          <w:sz w:val="20"/>
          <w:szCs w:val="20"/>
        </w:rPr>
        <w:t xml:space="preserve">Weeks 1-2 were used for the purpose of dose finding </w:t>
      </w:r>
      <w:r w:rsidR="00A13D5B" w:rsidRPr="00452C41">
        <w:rPr>
          <w:sz w:val="20"/>
          <w:szCs w:val="20"/>
        </w:rPr>
        <w:t xml:space="preserve">for resistance exercises in which </w:t>
      </w:r>
      <w:r w:rsidR="009105DA" w:rsidRPr="00452C41">
        <w:rPr>
          <w:sz w:val="20"/>
          <w:szCs w:val="20"/>
        </w:rPr>
        <w:t xml:space="preserve">1-RM </w:t>
      </w:r>
      <w:r w:rsidR="00A13D5B" w:rsidRPr="00452C41">
        <w:rPr>
          <w:sz w:val="20"/>
          <w:szCs w:val="20"/>
        </w:rPr>
        <w:t>was not evaluated</w:t>
      </w:r>
      <w:r w:rsidR="009105DA" w:rsidRPr="00452C41">
        <w:rPr>
          <w:sz w:val="20"/>
          <w:szCs w:val="20"/>
        </w:rPr>
        <w:t xml:space="preserve">. </w:t>
      </w:r>
      <w:r w:rsidR="00A13D5B" w:rsidRPr="00452C41">
        <w:rPr>
          <w:sz w:val="20"/>
          <w:szCs w:val="20"/>
        </w:rPr>
        <w:t xml:space="preserve">Intensity of each resistance exercise in </w:t>
      </w:r>
      <w:r w:rsidR="00FD4820" w:rsidRPr="00452C41">
        <w:rPr>
          <w:sz w:val="20"/>
          <w:szCs w:val="20"/>
        </w:rPr>
        <w:t xml:space="preserve">Weeks </w:t>
      </w:r>
      <w:r w:rsidR="009105DA" w:rsidRPr="00452C41">
        <w:rPr>
          <w:sz w:val="20"/>
          <w:szCs w:val="20"/>
        </w:rPr>
        <w:t>3</w:t>
      </w:r>
      <w:r w:rsidR="00FD4820" w:rsidRPr="00452C41">
        <w:rPr>
          <w:sz w:val="20"/>
          <w:szCs w:val="20"/>
        </w:rPr>
        <w:t xml:space="preserve"> to 8 and 9 to 16 were quantified using baseline and midpoint </w:t>
      </w:r>
      <w:r w:rsidR="0033612A" w:rsidRPr="00452C41">
        <w:rPr>
          <w:sz w:val="20"/>
          <w:szCs w:val="20"/>
        </w:rPr>
        <w:t>1-RM</w:t>
      </w:r>
      <w:r w:rsidR="00FD4820" w:rsidRPr="00452C41">
        <w:rPr>
          <w:sz w:val="20"/>
          <w:szCs w:val="20"/>
        </w:rPr>
        <w:t xml:space="preserve"> data</w:t>
      </w:r>
      <w:r w:rsidR="00A13D5B" w:rsidRPr="00452C41">
        <w:rPr>
          <w:sz w:val="20"/>
          <w:szCs w:val="20"/>
        </w:rPr>
        <w:t xml:space="preserve"> for exercise in which a 1-RM was conducted</w:t>
      </w:r>
      <w:r w:rsidR="00FD4820" w:rsidRPr="00452C41">
        <w:rPr>
          <w:sz w:val="20"/>
          <w:szCs w:val="20"/>
        </w:rPr>
        <w:t xml:space="preserve">, respectively. Calculation of “completed” </w:t>
      </w:r>
      <w:r w:rsidR="009105DA" w:rsidRPr="00452C41">
        <w:rPr>
          <w:sz w:val="20"/>
          <w:szCs w:val="20"/>
        </w:rPr>
        <w:t>intensity of each session was calculated by</w:t>
      </w:r>
      <w:r w:rsidR="00A13D5B" w:rsidRPr="00452C41">
        <w:rPr>
          <w:sz w:val="20"/>
          <w:szCs w:val="20"/>
        </w:rPr>
        <w:t xml:space="preserve"> multiplying the actual number of</w:t>
      </w:r>
      <w:r w:rsidR="009105DA" w:rsidRPr="00452C41">
        <w:rPr>
          <w:sz w:val="20"/>
          <w:szCs w:val="20"/>
        </w:rPr>
        <w:t xml:space="preserve"> sets, repetitions</w:t>
      </w:r>
      <w:r w:rsidR="00A13D5B" w:rsidRPr="00452C41">
        <w:rPr>
          <w:sz w:val="20"/>
          <w:szCs w:val="20"/>
        </w:rPr>
        <w:t>,</w:t>
      </w:r>
      <w:r w:rsidR="009105DA" w:rsidRPr="00452C41">
        <w:rPr>
          <w:sz w:val="20"/>
          <w:szCs w:val="20"/>
        </w:rPr>
        <w:t xml:space="preserve"> and weight </w:t>
      </w:r>
      <w:r w:rsidR="00A13D5B" w:rsidRPr="00452C41">
        <w:rPr>
          <w:sz w:val="20"/>
          <w:szCs w:val="20"/>
        </w:rPr>
        <w:t>performed to calculate</w:t>
      </w:r>
      <w:r w:rsidR="009105DA" w:rsidRPr="00452C41">
        <w:rPr>
          <w:sz w:val="20"/>
          <w:szCs w:val="20"/>
        </w:rPr>
        <w:t xml:space="preserve"> </w:t>
      </w:r>
      <w:r w:rsidR="00A13D5B" w:rsidRPr="00452C41">
        <w:rPr>
          <w:sz w:val="20"/>
          <w:szCs w:val="20"/>
        </w:rPr>
        <w:t>volume l</w:t>
      </w:r>
      <w:r w:rsidR="009105DA" w:rsidRPr="00452C41">
        <w:rPr>
          <w:sz w:val="20"/>
          <w:szCs w:val="20"/>
        </w:rPr>
        <w:t>oad/</w:t>
      </w:r>
      <w:r w:rsidR="00A13D5B" w:rsidRPr="00452C41">
        <w:rPr>
          <w:sz w:val="20"/>
          <w:szCs w:val="20"/>
        </w:rPr>
        <w:t>patient</w:t>
      </w:r>
      <w:r w:rsidR="00FD4820" w:rsidRPr="00452C41">
        <w:rPr>
          <w:sz w:val="20"/>
          <w:szCs w:val="20"/>
        </w:rPr>
        <w:t xml:space="preserve">. The </w:t>
      </w:r>
      <w:r w:rsidR="00A13D5B" w:rsidRPr="00452C41">
        <w:rPr>
          <w:sz w:val="20"/>
          <w:szCs w:val="20"/>
        </w:rPr>
        <w:t>mean v</w:t>
      </w:r>
      <w:r w:rsidR="009105DA" w:rsidRPr="00452C41">
        <w:rPr>
          <w:sz w:val="20"/>
          <w:szCs w:val="20"/>
        </w:rPr>
        <w:t xml:space="preserve">olume </w:t>
      </w:r>
      <w:r w:rsidR="00A13D5B" w:rsidRPr="00452C41">
        <w:rPr>
          <w:sz w:val="20"/>
          <w:szCs w:val="20"/>
        </w:rPr>
        <w:t>l</w:t>
      </w:r>
      <w:r w:rsidR="009105DA" w:rsidRPr="00452C41">
        <w:rPr>
          <w:sz w:val="20"/>
          <w:szCs w:val="20"/>
        </w:rPr>
        <w:t>oad</w:t>
      </w:r>
      <w:r w:rsidR="00FD4820" w:rsidRPr="00452C41">
        <w:rPr>
          <w:sz w:val="20"/>
          <w:szCs w:val="20"/>
        </w:rPr>
        <w:t xml:space="preserve"> was assigned to sessions in which intensity</w:t>
      </w:r>
      <w:r w:rsidR="009105DA" w:rsidRPr="00452C41">
        <w:rPr>
          <w:sz w:val="20"/>
          <w:szCs w:val="20"/>
        </w:rPr>
        <w:t>, defined by sets, repetitions and weight,</w:t>
      </w:r>
      <w:r w:rsidR="00FD4820" w:rsidRPr="00452C41">
        <w:rPr>
          <w:sz w:val="20"/>
          <w:szCs w:val="20"/>
        </w:rPr>
        <w:t xml:space="preserve"> was reduced (during the session), whereas missed sessions were assigned zero </w:t>
      </w:r>
      <w:r w:rsidR="00A13D5B" w:rsidRPr="00452C41">
        <w:rPr>
          <w:sz w:val="20"/>
          <w:szCs w:val="20"/>
        </w:rPr>
        <w:t>v</w:t>
      </w:r>
      <w:r w:rsidR="009105DA" w:rsidRPr="00452C41">
        <w:rPr>
          <w:sz w:val="20"/>
          <w:szCs w:val="20"/>
        </w:rPr>
        <w:t xml:space="preserve">olume </w:t>
      </w:r>
      <w:r w:rsidR="00A13D5B" w:rsidRPr="00452C41">
        <w:rPr>
          <w:sz w:val="20"/>
          <w:szCs w:val="20"/>
        </w:rPr>
        <w:t>l</w:t>
      </w:r>
      <w:r w:rsidR="009105DA" w:rsidRPr="00452C41">
        <w:rPr>
          <w:sz w:val="20"/>
          <w:szCs w:val="20"/>
        </w:rPr>
        <w:t>oad</w:t>
      </w:r>
      <w:r w:rsidR="00FD4820" w:rsidRPr="00452C41">
        <w:rPr>
          <w:sz w:val="20"/>
          <w:szCs w:val="20"/>
        </w:rPr>
        <w:t>. RDI</w:t>
      </w:r>
      <w:r w:rsidR="00320185" w:rsidRPr="00452C41">
        <w:rPr>
          <w:sz w:val="20"/>
          <w:szCs w:val="20"/>
        </w:rPr>
        <w:t xml:space="preserve"> was</w:t>
      </w:r>
      <w:r w:rsidR="00FD4820" w:rsidRPr="00452C41">
        <w:rPr>
          <w:sz w:val="20"/>
          <w:szCs w:val="20"/>
        </w:rPr>
        <w:t xml:space="preserve"> defined as the ratio of total “completed” to total “planned” cumulative dose.</w:t>
      </w:r>
      <w:r w:rsidR="00320185" w:rsidRPr="00452C41">
        <w:rPr>
          <w:sz w:val="20"/>
          <w:szCs w:val="20"/>
        </w:rPr>
        <w:t xml:space="preserve"> For context, a leg press performed at 60% of 1RM for 2 sets and 12 reps is equivalent to a volume load of 1680</w:t>
      </w:r>
      <w:r w:rsidR="004B1A34" w:rsidRPr="00452C41">
        <w:rPr>
          <w:sz w:val="20"/>
          <w:szCs w:val="20"/>
        </w:rPr>
        <w:t xml:space="preserve"> lbs</w:t>
      </w:r>
      <w:r w:rsidR="00320185" w:rsidRPr="00452C41">
        <w:rPr>
          <w:sz w:val="20"/>
          <w:szCs w:val="20"/>
        </w:rPr>
        <w:t>.</w:t>
      </w:r>
      <w:r w:rsidR="009105DA" w:rsidRPr="00452C41">
        <w:rPr>
          <w:szCs w:val="22"/>
        </w:rPr>
        <w:t xml:space="preserve"> </w:t>
      </w:r>
      <w:bookmarkEnd w:id="4"/>
      <w:bookmarkEnd w:id="5"/>
    </w:p>
    <w:p w14:paraId="0ECD3660" w14:textId="5E9F6F3C" w:rsidR="00C858BC" w:rsidRPr="00452C41" w:rsidRDefault="00C858BC" w:rsidP="00A13D5B">
      <w:pPr>
        <w:ind w:firstLine="720"/>
        <w:jc w:val="both"/>
        <w:outlineLvl w:val="0"/>
        <w:rPr>
          <w:sz w:val="20"/>
          <w:szCs w:val="20"/>
        </w:rPr>
      </w:pPr>
      <w:r w:rsidRPr="00452C41">
        <w:rPr>
          <w:sz w:val="20"/>
          <w:szCs w:val="20"/>
        </w:rPr>
        <w:t xml:space="preserve">In CT, </w:t>
      </w:r>
      <w:r w:rsidR="00756D02" w:rsidRPr="00452C41">
        <w:rPr>
          <w:sz w:val="20"/>
          <w:szCs w:val="20"/>
        </w:rPr>
        <w:t xml:space="preserve">AT and RT RDI were first quantified separately as outlined above. An overall RDI was calculated as the average RDI of AT and RT. </w:t>
      </w:r>
    </w:p>
    <w:p w14:paraId="10CAB8DA" w14:textId="77777777" w:rsidR="00756D02" w:rsidRPr="00452C41" w:rsidRDefault="00756D02" w:rsidP="00385B2D">
      <w:pPr>
        <w:jc w:val="both"/>
        <w:outlineLvl w:val="0"/>
        <w:rPr>
          <w:b/>
          <w:sz w:val="20"/>
          <w:szCs w:val="20"/>
        </w:rPr>
      </w:pPr>
    </w:p>
    <w:p w14:paraId="65DE28EC" w14:textId="4B8D8F99" w:rsidR="00281325" w:rsidRPr="00452C41" w:rsidRDefault="00281325" w:rsidP="00385B2D">
      <w:pPr>
        <w:jc w:val="both"/>
        <w:outlineLvl w:val="0"/>
        <w:rPr>
          <w:b/>
          <w:sz w:val="20"/>
          <w:szCs w:val="20"/>
        </w:rPr>
      </w:pPr>
      <w:r w:rsidRPr="00452C41">
        <w:rPr>
          <w:b/>
          <w:sz w:val="20"/>
          <w:szCs w:val="20"/>
        </w:rPr>
        <w:t xml:space="preserve">Primary and Secondary </w:t>
      </w:r>
      <w:r w:rsidR="0073082C" w:rsidRPr="00452C41">
        <w:rPr>
          <w:b/>
          <w:sz w:val="20"/>
          <w:szCs w:val="20"/>
        </w:rPr>
        <w:t>Endpoints</w:t>
      </w:r>
    </w:p>
    <w:p w14:paraId="1E3D7BD6" w14:textId="7B4258B8" w:rsidR="00243C2C" w:rsidRPr="00452C41" w:rsidRDefault="00281325" w:rsidP="00385B2D">
      <w:pPr>
        <w:jc w:val="both"/>
        <w:outlineLvl w:val="0"/>
        <w:rPr>
          <w:sz w:val="20"/>
          <w:szCs w:val="20"/>
        </w:rPr>
      </w:pPr>
      <w:r w:rsidRPr="00452C41">
        <w:rPr>
          <w:b/>
          <w:sz w:val="20"/>
          <w:szCs w:val="20"/>
        </w:rPr>
        <w:tab/>
      </w:r>
      <w:r w:rsidR="00DF28B1" w:rsidRPr="00452C41">
        <w:rPr>
          <w:sz w:val="20"/>
          <w:szCs w:val="20"/>
        </w:rPr>
        <w:t>The primary endpoint was cardiorespiratory fitness (VO</w:t>
      </w:r>
      <w:r w:rsidR="00DF28B1" w:rsidRPr="00452C41">
        <w:rPr>
          <w:sz w:val="20"/>
          <w:szCs w:val="20"/>
          <w:vertAlign w:val="subscript"/>
        </w:rPr>
        <w:t>2</w:t>
      </w:r>
      <w:r w:rsidR="00DF28B1" w:rsidRPr="00452C41">
        <w:rPr>
          <w:sz w:val="20"/>
          <w:szCs w:val="20"/>
        </w:rPr>
        <w:t>peak; ml O</w:t>
      </w:r>
      <w:r w:rsidR="00DF28B1" w:rsidRPr="00452C41">
        <w:rPr>
          <w:sz w:val="20"/>
          <w:szCs w:val="20"/>
          <w:vertAlign w:val="subscript"/>
        </w:rPr>
        <w:t>2</w:t>
      </w:r>
      <w:r w:rsidR="00DF28B1" w:rsidRPr="00452C41">
        <w:rPr>
          <w:sz w:val="20"/>
          <w:szCs w:val="20"/>
          <w:vertAlign w:val="superscript"/>
        </w:rPr>
        <w:t>.</w:t>
      </w:r>
      <w:r w:rsidR="00DF28B1" w:rsidRPr="00452C41">
        <w:rPr>
          <w:sz w:val="20"/>
          <w:szCs w:val="20"/>
        </w:rPr>
        <w:t>kg</w:t>
      </w:r>
      <w:r w:rsidR="00DF28B1" w:rsidRPr="00452C41">
        <w:rPr>
          <w:sz w:val="20"/>
          <w:szCs w:val="20"/>
          <w:vertAlign w:val="superscript"/>
        </w:rPr>
        <w:t>-1.</w:t>
      </w:r>
      <w:r w:rsidR="00DF28B1" w:rsidRPr="00452C41">
        <w:rPr>
          <w:sz w:val="20"/>
          <w:szCs w:val="20"/>
        </w:rPr>
        <w:t>min</w:t>
      </w:r>
      <w:r w:rsidR="00DF28B1" w:rsidRPr="00452C41">
        <w:rPr>
          <w:sz w:val="20"/>
          <w:szCs w:val="20"/>
          <w:vertAlign w:val="superscript"/>
        </w:rPr>
        <w:t>-1</w:t>
      </w:r>
      <w:r w:rsidR="00DF28B1" w:rsidRPr="00452C41">
        <w:rPr>
          <w:sz w:val="20"/>
          <w:szCs w:val="20"/>
        </w:rPr>
        <w:t>) assessed by a symptom-limited CPET on an electronic braked cycle ergometer (</w:t>
      </w:r>
      <w:proofErr w:type="spellStart"/>
      <w:r w:rsidR="00DF28B1" w:rsidRPr="00452C41">
        <w:rPr>
          <w:sz w:val="20"/>
          <w:szCs w:val="20"/>
        </w:rPr>
        <w:t>Corival</w:t>
      </w:r>
      <w:proofErr w:type="spellEnd"/>
      <w:r w:rsidR="00DF28B1" w:rsidRPr="00452C41">
        <w:rPr>
          <w:sz w:val="20"/>
          <w:szCs w:val="20"/>
        </w:rPr>
        <w:t>, Lode) test with 12-lead ECG monitoring (Mac® 5000, GE Healthcare) according to standard procedures.</w:t>
      </w:r>
      <w:r w:rsidR="00B92CFA" w:rsidRPr="00452C41">
        <w:rPr>
          <w:sz w:val="20"/>
          <w:szCs w:val="20"/>
        </w:rPr>
        <w:fldChar w:fldCharType="begin"/>
      </w:r>
      <w:r w:rsidR="009F1998">
        <w:rPr>
          <w:sz w:val="20"/>
          <w:szCs w:val="20"/>
        </w:rPr>
        <w:instrText xml:space="preserve"> ADDIN EN.CITE &lt;EndNote&gt;&lt;Cite&gt;&lt;Author&gt;ATS/ACCP&lt;/Author&gt;&lt;Year&gt;2003&lt;/Year&gt;&lt;RecNum&gt;555&lt;/RecNum&gt;&lt;DisplayText&gt;[4]&lt;/DisplayText&gt;&lt;record&gt;&lt;rec-number&gt;555&lt;/rec-number&gt;&lt;foreign-keys&gt;&lt;key app="EN" db-id="2srdt0z920029oepvvmpfxf4ppxfedpt95xt" timestamp="0"&gt;555&lt;/key&gt;&lt;/foreign-keys&gt;&lt;ref-type name="Journal Article"&gt;17&lt;/ref-type&gt;&lt;contributors&gt;&lt;authors&gt;&lt;author&gt;ATS/ACCP&lt;/author&gt;&lt;/authors&gt;&lt;/contributors&gt;&lt;titles&gt;&lt;title&gt;ATS/ACCP Statement on cardiopulmonary exercise testing&lt;/title&gt;&lt;secondary-title&gt;Am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211-77&lt;/pages&gt;&lt;volume&gt;167&lt;/volume&gt;&lt;number&gt;2&lt;/number&gt;&lt;edition&gt;2003/01/14&lt;/edition&gt;&lt;keywords&gt;&lt;keyword&gt;Adult&lt;/keyword&gt;&lt;keyword&gt;Aged&lt;/keyword&gt;&lt;keyword&gt;Cardiovascular Diseases/*diagnosis&lt;/keyword&gt;&lt;keyword&gt;Exercise Test/instrumentation/methods/*standards&lt;/keyword&gt;&lt;keyword&gt;Female&lt;/keyword&gt;&lt;keyword&gt;Humans&lt;/keyword&gt;&lt;keyword&gt;Lung Diseases/*diagnosis&lt;/keyword&gt;&lt;keyword&gt;Male&lt;/keyword&gt;&lt;keyword&gt;Middle Aged&lt;/keyword&gt;&lt;keyword&gt;Reference Values&lt;/keyword&gt;&lt;keyword&gt;Sensitivity and Specificity&lt;/keyword&gt;&lt;keyword&gt;Severity of Illness Index&lt;/keyword&gt;&lt;/keywords&gt;&lt;dates&gt;&lt;year&gt;2003&lt;/year&gt;&lt;pub-dates&gt;&lt;date&gt;Jan 15&lt;/date&gt;&lt;/pub-dates&gt;&lt;/dates&gt;&lt;isbn&gt;1073-449X (Print)&amp;#xD;1073-449X (Linking)&lt;/isbn&gt;&lt;accession-num&gt;12524257&lt;/accession-num&gt;&lt;work-type&gt;Case Reports&amp;#xD;Guideline&amp;#xD;Practice Guideline&amp;#xD;Review&lt;/work-type&gt;&lt;urls&gt;&lt;related-urls&gt;&lt;url&gt;http://www.ncbi.nlm.nih.gov/pubmed/12524257&lt;/url&gt;&lt;/related-urls&gt;&lt;/urls&gt;&lt;electronic-resource-num&gt;10.1164/rccm.167.2.211&lt;/electronic-resource-num&gt;&lt;language&gt;eng&lt;/language&gt;&lt;/record&gt;&lt;/Cite&gt;&lt;/EndNote&gt;</w:instrText>
      </w:r>
      <w:r w:rsidR="00B92CFA" w:rsidRPr="00452C41">
        <w:rPr>
          <w:sz w:val="20"/>
          <w:szCs w:val="20"/>
        </w:rPr>
        <w:fldChar w:fldCharType="separate"/>
      </w:r>
      <w:r w:rsidR="009F1998">
        <w:rPr>
          <w:noProof/>
          <w:sz w:val="20"/>
          <w:szCs w:val="20"/>
        </w:rPr>
        <w:t>[4]</w:t>
      </w:r>
      <w:r w:rsidR="00B92CFA" w:rsidRPr="00452C41">
        <w:rPr>
          <w:sz w:val="20"/>
          <w:szCs w:val="20"/>
        </w:rPr>
        <w:fldChar w:fldCharType="end"/>
      </w:r>
      <w:r w:rsidR="00DF28B1" w:rsidRPr="00452C41">
        <w:rPr>
          <w:b/>
          <w:bCs/>
          <w:sz w:val="20"/>
          <w:szCs w:val="20"/>
        </w:rPr>
        <w:t xml:space="preserve"> </w:t>
      </w:r>
      <w:r w:rsidR="00DF28B1" w:rsidRPr="00452C41">
        <w:rPr>
          <w:sz w:val="20"/>
          <w:szCs w:val="20"/>
        </w:rPr>
        <w:t xml:space="preserve">In brief, following </w:t>
      </w:r>
      <w:r w:rsidR="0073082C" w:rsidRPr="00452C41">
        <w:rPr>
          <w:sz w:val="20"/>
          <w:szCs w:val="20"/>
        </w:rPr>
        <w:t>three</w:t>
      </w:r>
      <w:r w:rsidR="00DF28B1" w:rsidRPr="00452C41">
        <w:rPr>
          <w:sz w:val="20"/>
          <w:szCs w:val="20"/>
        </w:rPr>
        <w:t xml:space="preserve"> mins of rest, patients began cycling at an individualized 10-20 watts and were subsequently increased 5-20 watts every minute thereafter until exhaustion or a symptom-limitation was achieved. Breath-by-breath (averaged every 30 secs) expired gases were analyzed continuously by a calibrated metabolic measurement system (Parvo Medics, TrueOne 2400). Acceptable CPET criteria </w:t>
      </w:r>
      <w:r w:rsidR="00DF28B1" w:rsidRPr="00452C41">
        <w:rPr>
          <w:color w:val="000000"/>
          <w:sz w:val="20"/>
          <w:szCs w:val="20"/>
          <w:shd w:val="clear" w:color="auto" w:fill="FFFFFF"/>
        </w:rPr>
        <w:t xml:space="preserve">included any of the following: (1) </w:t>
      </w:r>
      <w:r w:rsidR="00DF28B1" w:rsidRPr="00452C41">
        <w:rPr>
          <w:sz w:val="20"/>
          <w:szCs w:val="20"/>
        </w:rPr>
        <w:t>a plateau in VO</w:t>
      </w:r>
      <w:r w:rsidR="00DF28B1" w:rsidRPr="00452C41">
        <w:rPr>
          <w:sz w:val="20"/>
          <w:szCs w:val="20"/>
          <w:vertAlign w:val="subscript"/>
        </w:rPr>
        <w:t>2</w:t>
      </w:r>
      <w:r w:rsidR="00DF28B1" w:rsidRPr="00452C41">
        <w:rPr>
          <w:sz w:val="20"/>
          <w:szCs w:val="20"/>
        </w:rPr>
        <w:t>, concurrent with an increase in workload, (2) respiratory exchange ratio ≥ 1.0, (3) attainment (± 10 bpm) of age-predicted heart rate, and (4) volitional exhaustion as measured by a rating of perceived exertion (RPE) ≥ 18 on the B</w:t>
      </w:r>
      <w:r w:rsidR="00E74456" w:rsidRPr="00452C41">
        <w:rPr>
          <w:sz w:val="20"/>
          <w:szCs w:val="20"/>
        </w:rPr>
        <w:t>org</w:t>
      </w:r>
      <w:r w:rsidR="00DF28B1" w:rsidRPr="00452C41">
        <w:rPr>
          <w:sz w:val="20"/>
          <w:szCs w:val="20"/>
        </w:rPr>
        <w:t xml:space="preserve"> scale. A second pre-randomization CPET was performed to </w:t>
      </w:r>
      <w:r w:rsidR="00997C15" w:rsidRPr="00452C41">
        <w:rPr>
          <w:sz w:val="20"/>
          <w:szCs w:val="20"/>
        </w:rPr>
        <w:t>account for learning effects.</w:t>
      </w:r>
      <w:r w:rsidR="00997C15" w:rsidRPr="00452C41">
        <w:rPr>
          <w:sz w:val="20"/>
          <w:szCs w:val="20"/>
        </w:rPr>
        <w:fldChar w:fldCharType="begin"/>
      </w:r>
      <w:r w:rsidR="009F1998">
        <w:rPr>
          <w:sz w:val="20"/>
          <w:szCs w:val="20"/>
        </w:rPr>
        <w:instrText xml:space="preserve"> ADDIN EN.CITE &lt;EndNote&gt;&lt;Cite&gt;&lt;Author&gt;ATS/ACCP&lt;/Author&gt;&lt;Year&gt;2003&lt;/Year&gt;&lt;RecNum&gt;555&lt;/RecNum&gt;&lt;DisplayText&gt;[4]&lt;/DisplayText&gt;&lt;record&gt;&lt;rec-number&gt;555&lt;/rec-number&gt;&lt;foreign-keys&gt;&lt;key app="EN" db-id="2srdt0z920029oepvvmpfxf4ppxfedpt95xt" timestamp="0"&gt;555&lt;/key&gt;&lt;/foreign-keys&gt;&lt;ref-type name="Journal Article"&gt;17&lt;/ref-type&gt;&lt;contributors&gt;&lt;authors&gt;&lt;author&gt;ATS/ACCP&lt;/author&gt;&lt;/authors&gt;&lt;/contributors&gt;&lt;titles&gt;&lt;title&gt;ATS/ACCP Statement on cardiopulmonary exercise testing&lt;/title&gt;&lt;secondary-title&gt;Am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211-77&lt;/pages&gt;&lt;volume&gt;167&lt;/volume&gt;&lt;number&gt;2&lt;/number&gt;&lt;edition&gt;2003/01/14&lt;/edition&gt;&lt;keywords&gt;&lt;keyword&gt;Adult&lt;/keyword&gt;&lt;keyword&gt;Aged&lt;/keyword&gt;&lt;keyword&gt;Cardiovascular Diseases/*diagnosis&lt;/keyword&gt;&lt;keyword&gt;Exercise Test/instrumentation/methods/*standards&lt;/keyword&gt;&lt;keyword&gt;Female&lt;/keyword&gt;&lt;keyword&gt;Humans&lt;/keyword&gt;&lt;keyword&gt;Lung Diseases/*diagnosis&lt;/keyword&gt;&lt;keyword&gt;Male&lt;/keyword&gt;&lt;keyword&gt;Middle Aged&lt;/keyword&gt;&lt;keyword&gt;Reference Values&lt;/keyword&gt;&lt;keyword&gt;Sensitivity and Specificity&lt;/keyword&gt;&lt;keyword&gt;Severity of Illness Index&lt;/keyword&gt;&lt;/keywords&gt;&lt;dates&gt;&lt;year&gt;2003&lt;/year&gt;&lt;pub-dates&gt;&lt;date&gt;Jan 15&lt;/date&gt;&lt;/pub-dates&gt;&lt;/dates&gt;&lt;isbn&gt;1073-449X (Print)&amp;#xD;1073-449X (Linking)&lt;/isbn&gt;&lt;accession-num&gt;12524257&lt;/accession-num&gt;&lt;work-type&gt;Case Reports&amp;#xD;Guideline&amp;#xD;Practice Guideline&amp;#xD;Review&lt;/work-type&gt;&lt;urls&gt;&lt;related-urls&gt;&lt;url&gt;http://www.ncbi.nlm.nih.gov/pubmed/12524257&lt;/url&gt;&lt;/related-urls&gt;&lt;/urls&gt;&lt;electronic-resource-num&gt;10.1164/rccm.167.2.211&lt;/electronic-resource-num&gt;&lt;language&gt;eng&lt;/language&gt;&lt;/record&gt;&lt;/Cite&gt;&lt;/EndNote&gt;</w:instrText>
      </w:r>
      <w:r w:rsidR="00997C15" w:rsidRPr="00452C41">
        <w:rPr>
          <w:sz w:val="20"/>
          <w:szCs w:val="20"/>
        </w:rPr>
        <w:fldChar w:fldCharType="separate"/>
      </w:r>
      <w:r w:rsidR="009F1998">
        <w:rPr>
          <w:noProof/>
          <w:sz w:val="20"/>
          <w:szCs w:val="20"/>
        </w:rPr>
        <w:t>[4]</w:t>
      </w:r>
      <w:r w:rsidR="00997C15" w:rsidRPr="00452C41">
        <w:rPr>
          <w:sz w:val="20"/>
          <w:szCs w:val="20"/>
        </w:rPr>
        <w:fldChar w:fldCharType="end"/>
      </w:r>
      <w:r w:rsidR="00DF28B1" w:rsidRPr="00452C41">
        <w:rPr>
          <w:sz w:val="20"/>
          <w:szCs w:val="20"/>
        </w:rPr>
        <w:t xml:space="preserve"> VO</w:t>
      </w:r>
      <w:r w:rsidR="00DF28B1" w:rsidRPr="00452C41">
        <w:rPr>
          <w:sz w:val="20"/>
          <w:szCs w:val="20"/>
          <w:vertAlign w:val="subscript"/>
        </w:rPr>
        <w:t>2</w:t>
      </w:r>
      <w:r w:rsidR="00DF28B1" w:rsidRPr="00452C41">
        <w:rPr>
          <w:sz w:val="20"/>
          <w:szCs w:val="20"/>
        </w:rPr>
        <w:t>peak was defined as the highest recorded 30s average during the last 90 seconds of the CPET. All CPETs were conducted in a dedicated research laboratory</w:t>
      </w:r>
      <w:r w:rsidR="0073082C" w:rsidRPr="00452C41">
        <w:rPr>
          <w:sz w:val="20"/>
          <w:szCs w:val="20"/>
        </w:rPr>
        <w:t xml:space="preserve"> by dedicated exercise </w:t>
      </w:r>
      <w:r w:rsidR="00C858BC" w:rsidRPr="00452C41">
        <w:rPr>
          <w:sz w:val="20"/>
          <w:szCs w:val="20"/>
        </w:rPr>
        <w:t>physiologists</w:t>
      </w:r>
      <w:r w:rsidR="00DF28B1" w:rsidRPr="00452C41">
        <w:rPr>
          <w:sz w:val="20"/>
          <w:szCs w:val="20"/>
        </w:rPr>
        <w:t xml:space="preserve"> at both institutions.</w:t>
      </w:r>
      <w:r w:rsidR="00871712" w:rsidRPr="00452C41">
        <w:rPr>
          <w:sz w:val="20"/>
          <w:szCs w:val="20"/>
        </w:rPr>
        <w:t xml:space="preserve"> Two patients at follow-up completed all assessments except CPET due to hip pain (n=1) and newly diagnosed severe aortic stenosis (n=1).</w:t>
      </w:r>
    </w:p>
    <w:p w14:paraId="57763D49" w14:textId="37A7C391" w:rsidR="0073082C" w:rsidRPr="00452C41" w:rsidRDefault="00DF28B1" w:rsidP="0073082C">
      <w:pPr>
        <w:ind w:firstLine="720"/>
        <w:jc w:val="both"/>
        <w:outlineLvl w:val="0"/>
        <w:rPr>
          <w:sz w:val="20"/>
          <w:szCs w:val="20"/>
        </w:rPr>
      </w:pPr>
      <w:r w:rsidRPr="00452C41">
        <w:rPr>
          <w:sz w:val="20"/>
          <w:szCs w:val="20"/>
        </w:rPr>
        <w:t>Secondary endpoints were resting</w:t>
      </w:r>
      <w:r w:rsidR="00A13D5B" w:rsidRPr="00452C41">
        <w:rPr>
          <w:sz w:val="20"/>
          <w:szCs w:val="20"/>
        </w:rPr>
        <w:t xml:space="preserve"> cardiopulmonary end points</w:t>
      </w:r>
      <w:r w:rsidRPr="00452C41">
        <w:rPr>
          <w:sz w:val="20"/>
          <w:szCs w:val="20"/>
        </w:rPr>
        <w:t xml:space="preserve"> </w:t>
      </w:r>
      <w:r w:rsidR="00E47626" w:rsidRPr="00452C41">
        <w:rPr>
          <w:sz w:val="20"/>
          <w:szCs w:val="20"/>
        </w:rPr>
        <w:t>[</w:t>
      </w:r>
      <w:r w:rsidR="00A13D5B" w:rsidRPr="00452C41">
        <w:rPr>
          <w:sz w:val="20"/>
          <w:szCs w:val="20"/>
        </w:rPr>
        <w:t xml:space="preserve">i.e., </w:t>
      </w:r>
      <w:r w:rsidRPr="00452C41">
        <w:rPr>
          <w:sz w:val="20"/>
          <w:szCs w:val="20"/>
        </w:rPr>
        <w:t xml:space="preserve">heart rate, </w:t>
      </w:r>
      <w:r w:rsidR="00E47626" w:rsidRPr="00452C41">
        <w:rPr>
          <w:sz w:val="20"/>
          <w:szCs w:val="20"/>
        </w:rPr>
        <w:t xml:space="preserve">systolic </w:t>
      </w:r>
      <w:r w:rsidRPr="00452C41">
        <w:rPr>
          <w:sz w:val="20"/>
          <w:szCs w:val="20"/>
        </w:rPr>
        <w:t>blood pressure</w:t>
      </w:r>
      <w:r w:rsidR="0053580E" w:rsidRPr="00452C41">
        <w:rPr>
          <w:sz w:val="20"/>
          <w:szCs w:val="20"/>
        </w:rPr>
        <w:t xml:space="preserve"> </w:t>
      </w:r>
      <w:r w:rsidR="00E47626" w:rsidRPr="00452C41">
        <w:rPr>
          <w:sz w:val="20"/>
          <w:szCs w:val="20"/>
        </w:rPr>
        <w:t>(SBP</w:t>
      </w:r>
      <w:r w:rsidRPr="00452C41">
        <w:rPr>
          <w:sz w:val="20"/>
          <w:szCs w:val="20"/>
        </w:rPr>
        <w:t>)</w:t>
      </w:r>
      <w:r w:rsidR="00E47626" w:rsidRPr="00452C41">
        <w:rPr>
          <w:sz w:val="20"/>
          <w:szCs w:val="20"/>
        </w:rPr>
        <w:t>, diastolic blood pressure (DBP)]</w:t>
      </w:r>
      <w:r w:rsidRPr="00452C41">
        <w:rPr>
          <w:sz w:val="20"/>
          <w:szCs w:val="20"/>
        </w:rPr>
        <w:t xml:space="preserve"> </w:t>
      </w:r>
      <w:r w:rsidR="00A13D5B" w:rsidRPr="00452C41">
        <w:rPr>
          <w:sz w:val="20"/>
          <w:szCs w:val="20"/>
        </w:rPr>
        <w:t xml:space="preserve">as well as other measures acquired at </w:t>
      </w:r>
      <w:r w:rsidRPr="00452C41">
        <w:rPr>
          <w:sz w:val="20"/>
          <w:szCs w:val="20"/>
        </w:rPr>
        <w:t>peak CRF (i.e., VO</w:t>
      </w:r>
      <w:r w:rsidRPr="00452C41">
        <w:rPr>
          <w:sz w:val="20"/>
          <w:szCs w:val="20"/>
          <w:vertAlign w:val="subscript"/>
        </w:rPr>
        <w:t>2</w:t>
      </w:r>
      <w:r w:rsidRPr="00452C41">
        <w:rPr>
          <w:sz w:val="20"/>
          <w:szCs w:val="20"/>
        </w:rPr>
        <w:t xml:space="preserve">peak; </w:t>
      </w:r>
      <w:r w:rsidR="00973BD0" w:rsidRPr="00452C41">
        <w:rPr>
          <w:sz w:val="20"/>
          <w:szCs w:val="20"/>
        </w:rPr>
        <w:t>L</w:t>
      </w:r>
      <w:r w:rsidRPr="00452C41">
        <w:rPr>
          <w:sz w:val="20"/>
          <w:szCs w:val="20"/>
        </w:rPr>
        <w:t xml:space="preserve"> O</w:t>
      </w:r>
      <w:r w:rsidRPr="00452C41">
        <w:rPr>
          <w:sz w:val="20"/>
          <w:szCs w:val="20"/>
          <w:vertAlign w:val="subscript"/>
        </w:rPr>
        <w:t>2</w:t>
      </w:r>
      <w:r w:rsidRPr="00452C41">
        <w:rPr>
          <w:sz w:val="20"/>
          <w:szCs w:val="20"/>
          <w:vertAlign w:val="superscript"/>
        </w:rPr>
        <w:t>.</w:t>
      </w:r>
      <w:r w:rsidRPr="00452C41">
        <w:rPr>
          <w:sz w:val="20"/>
          <w:szCs w:val="20"/>
        </w:rPr>
        <w:t>min</w:t>
      </w:r>
      <w:r w:rsidRPr="00452C41">
        <w:rPr>
          <w:sz w:val="20"/>
          <w:szCs w:val="20"/>
          <w:vertAlign w:val="superscript"/>
        </w:rPr>
        <w:t>-1</w:t>
      </w:r>
      <w:r w:rsidRPr="00452C41">
        <w:rPr>
          <w:sz w:val="20"/>
          <w:szCs w:val="20"/>
        </w:rPr>
        <w:t xml:space="preserve">, respiratory exchange ratio, ventilation, heart rate, </w:t>
      </w:r>
      <w:r w:rsidR="0073082C" w:rsidRPr="00452C41">
        <w:rPr>
          <w:sz w:val="20"/>
          <w:szCs w:val="20"/>
        </w:rPr>
        <w:t xml:space="preserve">and </w:t>
      </w:r>
      <w:r w:rsidR="00E47626" w:rsidRPr="00452C41">
        <w:rPr>
          <w:sz w:val="20"/>
          <w:szCs w:val="20"/>
        </w:rPr>
        <w:t>SBP and DBP</w:t>
      </w:r>
      <w:r w:rsidR="00A13D5B" w:rsidRPr="00452C41">
        <w:rPr>
          <w:sz w:val="20"/>
          <w:szCs w:val="20"/>
        </w:rPr>
        <w:t>,</w:t>
      </w:r>
      <w:r w:rsidRPr="00452C41">
        <w:rPr>
          <w:sz w:val="20"/>
          <w:szCs w:val="20"/>
        </w:rPr>
        <w:t xml:space="preserve"> as previously described</w:t>
      </w:r>
      <w:r w:rsidRPr="00452C41">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 </w:instrText>
      </w:r>
      <w:r w:rsidR="009F1998">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EN.CITE.DATA </w:instrText>
      </w:r>
      <w:r w:rsidR="009F1998">
        <w:rPr>
          <w:sz w:val="20"/>
          <w:szCs w:val="20"/>
        </w:rPr>
      </w:r>
      <w:r w:rsidR="009F1998">
        <w:rPr>
          <w:sz w:val="20"/>
          <w:szCs w:val="20"/>
        </w:rPr>
        <w:fldChar w:fldCharType="end"/>
      </w:r>
      <w:r w:rsidRPr="00452C41">
        <w:rPr>
          <w:sz w:val="20"/>
          <w:szCs w:val="20"/>
        </w:rPr>
      </w:r>
      <w:r w:rsidRPr="00452C41">
        <w:rPr>
          <w:sz w:val="20"/>
          <w:szCs w:val="20"/>
        </w:rPr>
        <w:fldChar w:fldCharType="separate"/>
      </w:r>
      <w:r w:rsidR="009F1998">
        <w:rPr>
          <w:noProof/>
          <w:sz w:val="20"/>
          <w:szCs w:val="20"/>
        </w:rPr>
        <w:t>[2]</w:t>
      </w:r>
      <w:r w:rsidRPr="00452C41">
        <w:rPr>
          <w:sz w:val="20"/>
          <w:szCs w:val="20"/>
        </w:rPr>
        <w:fldChar w:fldCharType="end"/>
      </w:r>
      <w:r w:rsidRPr="00452C41">
        <w:rPr>
          <w:sz w:val="20"/>
          <w:szCs w:val="20"/>
        </w:rPr>
        <w:t xml:space="preserve">), upper and lower body maximal strength [1 repetition maximum (RM) leg press; </w:t>
      </w:r>
      <w:proofErr w:type="spellStart"/>
      <w:r w:rsidRPr="00452C41">
        <w:rPr>
          <w:sz w:val="20"/>
          <w:szCs w:val="20"/>
        </w:rPr>
        <w:t>lbs</w:t>
      </w:r>
      <w:proofErr w:type="spellEnd"/>
      <w:r w:rsidRPr="00452C41">
        <w:rPr>
          <w:sz w:val="20"/>
          <w:szCs w:val="20"/>
        </w:rPr>
        <w:t xml:space="preserve">, 1RM chest press; </w:t>
      </w:r>
      <w:proofErr w:type="spellStart"/>
      <w:r w:rsidRPr="00452C41">
        <w:rPr>
          <w:sz w:val="20"/>
          <w:szCs w:val="20"/>
        </w:rPr>
        <w:t>lbs</w:t>
      </w:r>
      <w:proofErr w:type="spellEnd"/>
      <w:r w:rsidRPr="00452C41">
        <w:rPr>
          <w:sz w:val="20"/>
          <w:szCs w:val="20"/>
        </w:rPr>
        <w:t xml:space="preserve">, 1RM seated row, </w:t>
      </w:r>
      <w:proofErr w:type="spellStart"/>
      <w:r w:rsidRPr="00452C41">
        <w:rPr>
          <w:sz w:val="20"/>
          <w:szCs w:val="20"/>
        </w:rPr>
        <w:t>lbs</w:t>
      </w:r>
      <w:proofErr w:type="spellEnd"/>
      <w:r w:rsidRPr="00452C41">
        <w:rPr>
          <w:sz w:val="20"/>
          <w:szCs w:val="20"/>
        </w:rPr>
        <w:t>; assessed using standard guidelines]</w:t>
      </w:r>
      <w:r w:rsidRPr="00452C41">
        <w:rPr>
          <w:sz w:val="20"/>
          <w:szCs w:val="20"/>
        </w:rPr>
        <w:fldChar w:fldCharType="begin"/>
      </w:r>
      <w:r w:rsidR="009F1998">
        <w:rPr>
          <w:sz w:val="20"/>
          <w:szCs w:val="20"/>
        </w:rPr>
        <w:instrText xml:space="preserve"> ADDIN EN.CITE &lt;EndNote&gt;&lt;Cite&gt;&lt;Author&gt;Barnes&lt;/Author&gt;&lt;Year&gt;2002&lt;/Year&gt;&lt;RecNum&gt;6356&lt;/RecNum&gt;&lt;DisplayText&gt;[5]&lt;/DisplayText&gt;&lt;record&gt;&lt;rec-number&gt;6356&lt;/rec-number&gt;&lt;foreign-keys&gt;&lt;key app="EN" db-id="2srdt0z920029oepvvmpfxf4ppxfedpt95xt" timestamp="1576674327"&gt;6356&lt;/key&gt;&lt;/foreign-keys&gt;&lt;ref-type name="Journal Article"&gt;17&lt;/ref-type&gt;&lt;contributors&gt;&lt;authors&gt;&lt;author&gt;Barnes, M.&lt;/author&gt;&lt;author&gt;Plisk, S.&lt;/author&gt;&lt;/authors&gt;&lt;/contributors&gt;&lt;titles&gt;&lt;title&gt;NSCA strength &amp;amp; conditioning professional standards &amp;amp; guidelines&lt;/title&gt;&lt;secondary-title&gt;Strength and Conditioning Journal&lt;/secondary-title&gt;&lt;alt-title&gt;Strength Cond J&lt;/alt-title&gt;&lt;/titles&gt;&lt;periodical&gt;&lt;full-title&gt;Strength and Conditioning Journal&lt;/full-title&gt;&lt;abbr-1&gt;Strength Cond J&lt;/abbr-1&gt;&lt;/periodical&gt;&lt;alt-periodical&gt;&lt;full-title&gt;Strength and Conditioning Journal&lt;/full-title&gt;&lt;abbr-1&gt;Strength Cond J&lt;/abbr-1&gt;&lt;/alt-periodical&gt;&lt;pages&gt;7-8&lt;/pages&gt;&lt;volume&gt;24&lt;/volume&gt;&lt;number&gt;1&lt;/number&gt;&lt;dates&gt;&lt;year&gt;2002&lt;/year&gt;&lt;pub-dates&gt;&lt;date&gt;Feb&lt;/date&gt;&lt;/pub-dates&gt;&lt;/dates&gt;&lt;isbn&gt;1524-1602&lt;/isbn&gt;&lt;accession-num&gt;WOS:000175470300001&lt;/accession-num&gt;&lt;urls&gt;&lt;related-urls&gt;&lt;url&gt;&amp;lt;Go to ISI&amp;gt;://WOS:000175470300001&lt;/url&gt;&lt;/related-urls&gt;&lt;/urls&gt;&lt;language&gt;English&lt;/language&gt;&lt;/record&gt;&lt;/Cite&gt;&lt;/EndNote&gt;</w:instrText>
      </w:r>
      <w:r w:rsidRPr="00452C41">
        <w:rPr>
          <w:sz w:val="20"/>
          <w:szCs w:val="20"/>
        </w:rPr>
        <w:fldChar w:fldCharType="separate"/>
      </w:r>
      <w:r w:rsidR="009F1998">
        <w:rPr>
          <w:noProof/>
          <w:sz w:val="20"/>
          <w:szCs w:val="20"/>
        </w:rPr>
        <w:t>[5]</w:t>
      </w:r>
      <w:r w:rsidRPr="00452C41">
        <w:rPr>
          <w:sz w:val="20"/>
          <w:szCs w:val="20"/>
        </w:rPr>
        <w:fldChar w:fldCharType="end"/>
      </w:r>
      <w:r w:rsidRPr="00452C41">
        <w:rPr>
          <w:sz w:val="20"/>
          <w:szCs w:val="20"/>
        </w:rPr>
        <w:t xml:space="preserve">, body weight and composition [weight; kg, percentage of lean and fat mass assessed via a dual-energy x-ray absorptiometry (Lunar DPX, General Electric) or air displacement plethysmography (Life Measurement Incorporated, Concord, CA)], and patient-reported outcomes (PROs) including quality of life </w:t>
      </w:r>
      <w:r w:rsidRPr="00452C41">
        <w:rPr>
          <w:sz w:val="20"/>
          <w:szCs w:val="20"/>
        </w:rPr>
        <w:lastRenderedPageBreak/>
        <w:t>[Functional Assessment of Cancer Therapy – Lung (FACT-L</w:t>
      </w:r>
      <w:r w:rsidR="00E8432D" w:rsidRPr="00452C41">
        <w:rPr>
          <w:sz w:val="20"/>
          <w:szCs w:val="20"/>
        </w:rPr>
        <w:t>)</w:t>
      </w:r>
      <w:r w:rsidR="00E8432D" w:rsidRPr="00452C41">
        <w:rPr>
          <w:sz w:val="20"/>
          <w:szCs w:val="20"/>
        </w:rPr>
        <w:fldChar w:fldCharType="begin"/>
      </w:r>
      <w:r w:rsidR="009F1998">
        <w:rPr>
          <w:sz w:val="20"/>
          <w:szCs w:val="20"/>
        </w:rPr>
        <w:instrText xml:space="preserve"> ADDIN EN.CITE &lt;EndNote&gt;&lt;Cite&gt;&lt;Author&gt;Cella&lt;/Author&gt;&lt;Year&gt;1995&lt;/Year&gt;&lt;RecNum&gt;6379&lt;/RecNum&gt;&lt;DisplayText&gt;[6]&lt;/DisplayText&gt;&lt;record&gt;&lt;rec-number&gt;6379&lt;/rec-number&gt;&lt;foreign-keys&gt;&lt;key app="EN" db-id="2srdt0z920029oepvvmpfxf4ppxfedpt95xt" timestamp="1579459180"&gt;6379&lt;/key&gt;&lt;/foreign-keys&gt;&lt;ref-type name="Journal Article"&gt;17&lt;/ref-type&gt;&lt;contributors&gt;&lt;authors&gt;&lt;author&gt;Cella, D. F.&lt;/author&gt;&lt;author&gt;Bonomi, A. E.&lt;/author&gt;&lt;author&gt;Lloyd, S. R.&lt;/author&gt;&lt;author&gt;Tulsky, D. S.&lt;/author&gt;&lt;author&gt;Kaplan, E.&lt;/author&gt;&lt;author&gt;Bonomi, P.&lt;/author&gt;&lt;/authors&gt;&lt;/contributors&gt;&lt;auth-address&gt;Rush Cancer Institute, Chicago, IL, USA.&lt;/auth-address&gt;&lt;titles&gt;&lt;title&gt;Reliability and validity of the Functional Assessment of Cancer Therapy-Lung (FACT-L) quality of life instrument&lt;/title&gt;&lt;secondary-title&gt;Lung Cancer&lt;/secondary-title&gt;&lt;/titles&gt;&lt;periodical&gt;&lt;full-title&gt;Lung Cancer&lt;/full-title&gt;&lt;abbr-1&gt;Lung cancer&lt;/abbr-1&gt;&lt;/periodical&gt;&lt;pages&gt;199-220&lt;/pages&gt;&lt;volume&gt;12&lt;/volume&gt;&lt;number&gt;3&lt;/number&gt;&lt;keywords&gt;&lt;keyword&gt;Adult&lt;/keyword&gt;&lt;keyword&gt;Aged&lt;/keyword&gt;&lt;keyword&gt;Aged, 80 and over&lt;/keyword&gt;&lt;keyword&gt;Female&lt;/keyword&gt;&lt;keyword&gt;Humans&lt;/keyword&gt;&lt;keyword&gt;Lung Neoplasms/*psychology&lt;/keyword&gt;&lt;keyword&gt;Male&lt;/keyword&gt;&lt;keyword&gt;Middle Aged&lt;/keyword&gt;&lt;keyword&gt;*Quality of Life&lt;/keyword&gt;&lt;/keywords&gt;&lt;dates&gt;&lt;year&gt;1995&lt;/year&gt;&lt;pub-dates&gt;&lt;date&gt;Jun&lt;/date&gt;&lt;/pub-dates&gt;&lt;/dates&gt;&lt;isbn&gt;0169-5002 (Print)&amp;#xD;0169-5002 (Linking)&lt;/isbn&gt;&lt;accession-num&gt;7655830&lt;/accession-num&gt;&lt;urls&gt;&lt;related-urls&gt;&lt;url&gt;https://www.ncbi.nlm.nih.gov/pubmed/7655830&lt;/url&gt;&lt;/related-urls&gt;&lt;/urls&gt;&lt;electronic-resource-num&gt;10.1016/0169-5002(95)00450-f&lt;/electronic-resource-num&gt;&lt;/record&gt;&lt;/Cite&gt;&lt;/EndNote&gt;</w:instrText>
      </w:r>
      <w:r w:rsidR="00E8432D" w:rsidRPr="00452C41">
        <w:rPr>
          <w:sz w:val="20"/>
          <w:szCs w:val="20"/>
        </w:rPr>
        <w:fldChar w:fldCharType="separate"/>
      </w:r>
      <w:r w:rsidR="009F1998">
        <w:rPr>
          <w:noProof/>
          <w:sz w:val="20"/>
          <w:szCs w:val="20"/>
        </w:rPr>
        <w:t>[6]</w:t>
      </w:r>
      <w:r w:rsidR="00E8432D" w:rsidRPr="00452C41">
        <w:rPr>
          <w:sz w:val="20"/>
          <w:szCs w:val="20"/>
        </w:rPr>
        <w:fldChar w:fldCharType="end"/>
      </w:r>
      <w:r w:rsidR="00E8432D" w:rsidRPr="00452C41">
        <w:rPr>
          <w:sz w:val="20"/>
          <w:szCs w:val="20"/>
        </w:rPr>
        <w:t xml:space="preserve"> that contains</w:t>
      </w:r>
      <w:r w:rsidRPr="00452C41">
        <w:rPr>
          <w:sz w:val="20"/>
          <w:szCs w:val="20"/>
        </w:rPr>
        <w:t xml:space="preserve"> </w:t>
      </w:r>
      <w:r w:rsidR="0073082C" w:rsidRPr="00452C41">
        <w:rPr>
          <w:sz w:val="20"/>
          <w:szCs w:val="20"/>
        </w:rPr>
        <w:t xml:space="preserve">the subscales </w:t>
      </w:r>
      <w:r w:rsidR="00E8432D" w:rsidRPr="00452C41">
        <w:rPr>
          <w:sz w:val="20"/>
          <w:szCs w:val="20"/>
        </w:rPr>
        <w:t>for</w:t>
      </w:r>
      <w:r w:rsidR="0073082C" w:rsidRPr="00452C41">
        <w:rPr>
          <w:sz w:val="20"/>
          <w:szCs w:val="20"/>
        </w:rPr>
        <w:t xml:space="preserve"> physical well-being, social well-being, emotional well-being, and functional well-being</w:t>
      </w:r>
      <w:r w:rsidR="00E8432D" w:rsidRPr="00452C41">
        <w:rPr>
          <w:sz w:val="20"/>
          <w:szCs w:val="20"/>
        </w:rPr>
        <w:t xml:space="preserve"> that comprise the FACT-G</w:t>
      </w:r>
      <w:r w:rsidR="00E8432D" w:rsidRPr="00452C41">
        <w:rPr>
          <w:sz w:val="20"/>
          <w:szCs w:val="20"/>
        </w:rPr>
        <w:fldChar w:fldCharType="begin"/>
      </w:r>
      <w:r w:rsidR="009F1998">
        <w:rPr>
          <w:sz w:val="20"/>
          <w:szCs w:val="20"/>
        </w:rPr>
        <w:instrText xml:space="preserve"> ADDIN EN.CITE &lt;EndNote&gt;&lt;Cite&gt;&lt;Author&gt;Cella&lt;/Author&gt;&lt;Year&gt;1993&lt;/Year&gt;&lt;RecNum&gt;3813&lt;/RecNum&gt;&lt;DisplayText&gt;[7]&lt;/DisplayText&gt;&lt;record&gt;&lt;rec-number&gt;3813&lt;/rec-number&gt;&lt;foreign-keys&gt;&lt;key app="EN" db-id="2srdt0z920029oepvvmpfxf4ppxfedpt95xt" timestamp="0"&gt;3813&lt;/key&gt;&lt;/foreign-keys&gt;&lt;ref-type name="Journal Article"&gt;17&lt;/ref-type&gt;&lt;contributors&gt;&lt;authors&gt;&lt;author&gt;Cella, D. F.&lt;/author&gt;&lt;author&gt;Tulsky, D. S.&lt;/author&gt;&lt;author&gt;Gray, G.&lt;/author&gt;&lt;author&gt;Sarafian, B.&lt;/author&gt;&lt;author&gt;Linn, E.&lt;/author&gt;&lt;author&gt;Bonomi, A.&lt;/author&gt;&lt;author&gt;Silberman, M.&lt;/author&gt;&lt;author&gt;Yellen, S. B.&lt;/author&gt;&lt;author&gt;Winicour, P.&lt;/author&gt;&lt;author&gt;Brannon, J.&lt;/author&gt;&lt;author&gt;et al.,&lt;/author&gt;&lt;/authors&gt;&lt;/contributors&gt;&lt;auth-address&gt;Rush-Presbyterian-St Luke&amp;apos;s Medical Center, Chicago, IL.&lt;/auth-address&gt;&lt;titles&gt;&lt;title&gt;The Functional Assessment of Cancer Therapy scale: development and validation of the general measure&lt;/title&gt;&lt;secondary-title&gt;J Clin Oncol&lt;/secondary-title&gt;&lt;alt-title&gt;Journal of clinical oncology : official journal of the American Society of Clinical Oncology&lt;/alt-title&gt;&lt;/titles&gt;&lt;periodical&gt;&lt;full-title&gt;J Clin Oncol&lt;/full-title&gt;&lt;/periodical&gt;&lt;pages&gt;570-9&lt;/pages&gt;&lt;volume&gt;11&lt;/volume&gt;&lt;number&gt;3&lt;/number&gt;&lt;edition&gt;1993/03/01&lt;/edition&gt;&lt;keywords&gt;&lt;keyword&gt;Adult&lt;/keyword&gt;&lt;keyword&gt;Aged&lt;/keyword&gt;&lt;keyword&gt;Evaluation Studies as Topic&lt;/keyword&gt;&lt;keyword&gt;Factor Analysis, Statistical&lt;/keyword&gt;&lt;keyword&gt;Humans&lt;/keyword&gt;&lt;keyword&gt;Interviews as Topic&lt;/keyword&gt;&lt;keyword&gt;Middle Aged&lt;/keyword&gt;&lt;keyword&gt;Neoplasms/*psychology/*therapy&lt;/keyword&gt;&lt;keyword&gt;*Quality of Life&lt;/keyword&gt;&lt;keyword&gt;Reproducibility of Results&lt;/keyword&gt;&lt;/keywords&gt;&lt;dates&gt;&lt;year&gt;1993&lt;/year&gt;&lt;pub-dates&gt;&lt;date&gt;Mar&lt;/date&gt;&lt;/pub-dates&gt;&lt;/dates&gt;&lt;isbn&gt;0732-183X (Print)&amp;#xD;0732-183X (Linking)&lt;/isbn&gt;&lt;accession-num&gt;8445433&lt;/accession-num&gt;&lt;work-type&gt;Research Support, Non-U.S. Gov&amp;apos;t&amp;#xD;Research Support, U.S. Gov&amp;apos;t, P.H.S.&lt;/work-type&gt;&lt;urls&gt;&lt;related-urls&gt;&lt;url&gt;http://www.ncbi.nlm.nih.gov/pubmed/8445433&lt;/url&gt;&lt;/related-urls&gt;&lt;/urls&gt;&lt;language&gt;eng&lt;/language&gt;&lt;/record&gt;&lt;/Cite&gt;&lt;/EndNote&gt;</w:instrText>
      </w:r>
      <w:r w:rsidR="00E8432D" w:rsidRPr="00452C41">
        <w:rPr>
          <w:sz w:val="20"/>
          <w:szCs w:val="20"/>
        </w:rPr>
        <w:fldChar w:fldCharType="separate"/>
      </w:r>
      <w:r w:rsidR="009F1998">
        <w:rPr>
          <w:noProof/>
          <w:sz w:val="20"/>
          <w:szCs w:val="20"/>
        </w:rPr>
        <w:t>[7]</w:t>
      </w:r>
      <w:r w:rsidR="00E8432D" w:rsidRPr="00452C41">
        <w:rPr>
          <w:sz w:val="20"/>
          <w:szCs w:val="20"/>
        </w:rPr>
        <w:fldChar w:fldCharType="end"/>
      </w:r>
      <w:r w:rsidR="00E8432D" w:rsidRPr="00452C41">
        <w:rPr>
          <w:sz w:val="20"/>
          <w:szCs w:val="20"/>
        </w:rPr>
        <w:t xml:space="preserve">, plus a lung cancer subscale, </w:t>
      </w:r>
      <w:r w:rsidR="00997C15" w:rsidRPr="00452C41">
        <w:rPr>
          <w:sz w:val="20"/>
          <w:szCs w:val="20"/>
        </w:rPr>
        <w:t>Functional Assessment of Chronic Illness Therapy - fatigue scale (FACIT-fatigue</w:t>
      </w:r>
      <w:r w:rsidR="00973BD0" w:rsidRPr="00452C41">
        <w:rPr>
          <w:sz w:val="20"/>
          <w:szCs w:val="20"/>
        </w:rPr>
        <w:t>)</w:t>
      </w:r>
      <w:r w:rsidR="00203FF2" w:rsidRPr="00452C41">
        <w:rPr>
          <w:sz w:val="20"/>
          <w:szCs w:val="20"/>
        </w:rPr>
        <w:t>,</w:t>
      </w:r>
      <w:r w:rsidRPr="00452C41">
        <w:rPr>
          <w:sz w:val="20"/>
          <w:szCs w:val="20"/>
        </w:rPr>
        <w:fldChar w:fldCharType="begin"/>
      </w:r>
      <w:r w:rsidR="009F1998">
        <w:rPr>
          <w:sz w:val="20"/>
          <w:szCs w:val="20"/>
        </w:rPr>
        <w:instrText xml:space="preserve"> ADDIN EN.CITE &lt;EndNote&gt;&lt;Cite&gt;&lt;Author&gt;Lai&lt;/Author&gt;&lt;Year&gt;2003&lt;/Year&gt;&lt;RecNum&gt;6214&lt;/RecNum&gt;&lt;DisplayText&gt;[8]&lt;/DisplayText&gt;&lt;record&gt;&lt;rec-number&gt;6214&lt;/rec-number&gt;&lt;foreign-keys&gt;&lt;key app="EN" db-id="2srdt0z920029oepvvmpfxf4ppxfedpt95xt" timestamp="1555187291"&gt;6214&lt;/key&gt;&lt;/foreign-keys&gt;&lt;ref-type name="Journal Article"&gt;17&lt;/ref-type&gt;&lt;contributors&gt;&lt;authors&gt;&lt;author&gt;Lai, J. S.&lt;/author&gt;&lt;author&gt;Cella, D.&lt;/author&gt;&lt;author&gt;Chang, C. H.&lt;/author&gt;&lt;author&gt;Bode, R. K.&lt;/author&gt;&lt;author&gt;Heinemann, A. W.&lt;/author&gt;&lt;/authors&gt;&lt;/contributors&gt;&lt;auth-address&gt;Center on Outcomes, Research and Education, Evanston Northwestern Healthcare, Evanston, Illinois 60201, USA. js-lai@northwestern.edu&lt;/auth-address&gt;&lt;titles&gt;&lt;title&gt;Item banking to improve, shorten and computerize self-reported fatigue: an illustration of steps to create a core item bank from the FACIT-Fatigue Scale&lt;/title&gt;&lt;secondary-title&gt;Qual Life Res&lt;/secondary-title&gt;&lt;/titles&gt;&lt;periodical&gt;&lt;full-title&gt;Qual Life Res&lt;/full-title&gt;&lt;/periodical&gt;&lt;pages&gt;485-501&lt;/pages&gt;&lt;volume&gt;12&lt;/volume&gt;&lt;number&gt;5&lt;/number&gt;&lt;keywords&gt;&lt;keyword&gt;Adult&lt;/keyword&gt;&lt;keyword&gt;Fatigue/*diagnosis/etiology&lt;/keyword&gt;&lt;keyword&gt;Female&lt;/keyword&gt;&lt;keyword&gt;*Health Status Indicators&lt;/keyword&gt;&lt;keyword&gt;Humans&lt;/keyword&gt;&lt;keyword&gt;Male&lt;/keyword&gt;&lt;keyword&gt;Middle Aged&lt;/keyword&gt;&lt;keyword&gt;Neoplasms/complications&lt;/keyword&gt;&lt;keyword&gt;Psychometrics&lt;/keyword&gt;&lt;keyword&gt;Sickness Impact Profile&lt;/keyword&gt;&lt;keyword&gt;*Surveys and Questionnaires&lt;/keyword&gt;&lt;/keywords&gt;&lt;dates&gt;&lt;year&gt;2003&lt;/year&gt;&lt;pub-dates&gt;&lt;date&gt;Aug&lt;/date&gt;&lt;/pub-dates&gt;&lt;/dates&gt;&lt;isbn&gt;0962-9343 (Print)&amp;#xD;0962-9343 (Linking)&lt;/isbn&gt;&lt;accession-num&gt;13677494&lt;/accession-num&gt;&lt;urls&gt;&lt;related-urls&gt;&lt;url&gt;https://www.ncbi.nlm.nih.gov/pubmed/13677494&lt;/url&gt;&lt;/related-urls&gt;&lt;/urls&gt;&lt;/record&gt;&lt;/Cite&gt;&lt;/EndNote&gt;</w:instrText>
      </w:r>
      <w:r w:rsidRPr="00452C41">
        <w:rPr>
          <w:sz w:val="20"/>
          <w:szCs w:val="20"/>
        </w:rPr>
        <w:fldChar w:fldCharType="separate"/>
      </w:r>
      <w:r w:rsidR="009F1998">
        <w:rPr>
          <w:noProof/>
          <w:sz w:val="20"/>
          <w:szCs w:val="20"/>
        </w:rPr>
        <w:t>[8]</w:t>
      </w:r>
      <w:r w:rsidRPr="00452C41">
        <w:rPr>
          <w:sz w:val="20"/>
          <w:szCs w:val="20"/>
        </w:rPr>
        <w:fldChar w:fldCharType="end"/>
      </w:r>
      <w:r w:rsidRPr="00452C41">
        <w:rPr>
          <w:sz w:val="20"/>
          <w:szCs w:val="20"/>
        </w:rPr>
        <w:t xml:space="preserve"> pain</w:t>
      </w:r>
      <w:r w:rsidR="00203FF2" w:rsidRPr="00452C41">
        <w:rPr>
          <w:sz w:val="20"/>
          <w:szCs w:val="20"/>
        </w:rPr>
        <w:t xml:space="preserve"> (Brief Pain Inventory)</w:t>
      </w:r>
      <w:r w:rsidRPr="00452C41">
        <w:rPr>
          <w:sz w:val="20"/>
          <w:szCs w:val="20"/>
        </w:rPr>
        <w:t>,</w:t>
      </w:r>
      <w:r w:rsidR="00651B28" w:rsidRPr="00452C41">
        <w:rPr>
          <w:sz w:val="20"/>
          <w:szCs w:val="20"/>
        </w:rPr>
        <w:fldChar w:fldCharType="begin"/>
      </w:r>
      <w:r w:rsidR="009F1998">
        <w:rPr>
          <w:sz w:val="20"/>
          <w:szCs w:val="20"/>
        </w:rPr>
        <w:instrText xml:space="preserve"> ADDIN EN.CITE &lt;EndNote&gt;&lt;Cite&gt;&lt;Author&gt;Cleeland&lt;/Author&gt;&lt;Year&gt;1994&lt;/Year&gt;&lt;RecNum&gt;6215&lt;/RecNum&gt;&lt;DisplayText&gt;[9]&lt;/DisplayText&gt;&lt;record&gt;&lt;rec-number&gt;6215&lt;/rec-number&gt;&lt;foreign-keys&gt;&lt;key app="EN" db-id="2srdt0z920029oepvvmpfxf4ppxfedpt95xt" timestamp="1555187291"&gt;6215&lt;/key&gt;&lt;/foreign-keys&gt;&lt;ref-type name="Journal Article"&gt;17&lt;/ref-type&gt;&lt;contributors&gt;&lt;authors&gt;&lt;author&gt;Cleeland, C. S.&lt;/author&gt;&lt;author&gt;Ryan, K. M.&lt;/author&gt;&lt;/authors&gt;&lt;/contributors&gt;&lt;auth-address&gt;Pain Research Group, University of Wisconsin-Madison 53705-4013.&lt;/auth-address&gt;&lt;titles&gt;&lt;title&gt;Pain assessment: global use of the Brief Pain Inventory&lt;/title&gt;&lt;secondary-title&gt;Ann Acad Med Singapore&lt;/secondary-title&gt;&lt;/titles&gt;&lt;periodical&gt;&lt;full-title&gt;Ann Acad Med Singapore&lt;/full-title&gt;&lt;/periodical&gt;&lt;pages&gt;129-38&lt;/pages&gt;&lt;volume&gt;23&lt;/volume&gt;&lt;number&gt;2&lt;/number&gt;&lt;keywords&gt;&lt;keyword&gt;Activities of Daily Living&lt;/keyword&gt;&lt;keyword&gt;Attitude to Health&lt;/keyword&gt;&lt;keyword&gt;Clinical Trials as Topic&lt;/keyword&gt;&lt;keyword&gt;Cross-Cultural Comparison&lt;/keyword&gt;&lt;keyword&gt;Epidemiology&lt;/keyword&gt;&lt;keyword&gt;Factor Analysis, Statistical&lt;/keyword&gt;&lt;keyword&gt;Humans&lt;/keyword&gt;&lt;keyword&gt;Neoplasms/*physiopathology&lt;/keyword&gt;&lt;keyword&gt;Pain/*diagnosis/epidemiology/etiology/prevention &amp;amp; control/psychology&lt;/keyword&gt;&lt;keyword&gt;Pain Measurement/*methods&lt;/keyword&gt;&lt;keyword&gt;Quality of Life&lt;/keyword&gt;&lt;keyword&gt;Reproducibility of Results&lt;/keyword&gt;&lt;keyword&gt;Severity of Illness Index&lt;/keyword&gt;&lt;keyword&gt;Surveys and Questionnaires&lt;/keyword&gt;&lt;/keywords&gt;&lt;dates&gt;&lt;year&gt;1994&lt;/year&gt;&lt;pub-dates&gt;&lt;date&gt;Mar&lt;/date&gt;&lt;/pub-dates&gt;&lt;/dates&gt;&lt;isbn&gt;0304-4602 (Print)&amp;#xD;0304-4602 (Linking)&lt;/isbn&gt;&lt;accession-num&gt;8080219&lt;/accession-num&gt;&lt;urls&gt;&lt;related-urls&gt;&lt;url&gt;https://www.ncbi.nlm.nih.gov/pubmed/8080219&lt;/url&gt;&lt;/related-urls&gt;&lt;/urls&gt;&lt;/record&gt;&lt;/Cite&gt;&lt;/EndNote&gt;</w:instrText>
      </w:r>
      <w:r w:rsidR="00651B28" w:rsidRPr="00452C41">
        <w:rPr>
          <w:sz w:val="20"/>
          <w:szCs w:val="20"/>
        </w:rPr>
        <w:fldChar w:fldCharType="separate"/>
      </w:r>
      <w:r w:rsidR="009F1998">
        <w:rPr>
          <w:noProof/>
          <w:sz w:val="20"/>
          <w:szCs w:val="20"/>
        </w:rPr>
        <w:t>[9]</w:t>
      </w:r>
      <w:r w:rsidR="00651B28" w:rsidRPr="00452C41">
        <w:rPr>
          <w:sz w:val="20"/>
          <w:szCs w:val="20"/>
        </w:rPr>
        <w:fldChar w:fldCharType="end"/>
      </w:r>
      <w:r w:rsidRPr="00452C41">
        <w:rPr>
          <w:sz w:val="20"/>
          <w:szCs w:val="20"/>
        </w:rPr>
        <w:t xml:space="preserve"> and sleep</w:t>
      </w:r>
      <w:r w:rsidR="00203FF2" w:rsidRPr="00452C41">
        <w:rPr>
          <w:sz w:val="20"/>
          <w:szCs w:val="20"/>
        </w:rPr>
        <w:t xml:space="preserve"> quality (Pittsburgh Sleep Quality Index)</w:t>
      </w:r>
      <w:r w:rsidR="00651B28" w:rsidRPr="00452C41">
        <w:rPr>
          <w:sz w:val="20"/>
          <w:szCs w:val="20"/>
        </w:rPr>
        <w:fldChar w:fldCharType="begin"/>
      </w:r>
      <w:r w:rsidR="009F1998">
        <w:rPr>
          <w:sz w:val="20"/>
          <w:szCs w:val="20"/>
        </w:rPr>
        <w:instrText xml:space="preserve"> ADDIN EN.CITE &lt;EndNote&gt;&lt;Cite&gt;&lt;Author&gt;Buysse&lt;/Author&gt;&lt;Year&gt;1989&lt;/Year&gt;&lt;RecNum&gt;5894&lt;/RecNum&gt;&lt;DisplayText&gt;[10]&lt;/DisplayText&gt;&lt;record&gt;&lt;rec-number&gt;5894&lt;/rec-number&gt;&lt;foreign-keys&gt;&lt;key app="EN" db-id="2srdt0z920029oepvvmpfxf4ppxfedpt95xt" timestamp="1533903233"&gt;5894&lt;/key&gt;&lt;/foreign-keys&gt;&lt;ref-type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research&lt;/abbr-1&gt;&lt;/alt-periodical&gt;&lt;pages&gt;193-213&lt;/pages&gt;&lt;volume&gt;28&lt;/volume&gt;&lt;number&gt;2&lt;/number&gt;&lt;keywords&gt;&lt;keyword&gt;Adult&lt;/keyword&gt;&lt;keyword&gt;Aged&lt;/keyword&gt;&lt;keyword&gt;Aged,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 (Linking)&lt;/isbn&gt;&lt;accession-num&gt;2748771&lt;/accession-num&gt;&lt;urls&gt;&lt;related-urls&gt;&lt;url&gt;http://www.ncbi.nlm.nih.gov/pubmed/2748771&lt;/url&gt;&lt;/related-urls&gt;&lt;/urls&gt;&lt;/record&gt;&lt;/Cite&gt;&lt;/EndNote&gt;</w:instrText>
      </w:r>
      <w:r w:rsidR="00651B28" w:rsidRPr="00452C41">
        <w:rPr>
          <w:sz w:val="20"/>
          <w:szCs w:val="20"/>
        </w:rPr>
        <w:fldChar w:fldCharType="separate"/>
      </w:r>
      <w:r w:rsidR="009F1998">
        <w:rPr>
          <w:noProof/>
          <w:sz w:val="20"/>
          <w:szCs w:val="20"/>
        </w:rPr>
        <w:t>[10]</w:t>
      </w:r>
      <w:r w:rsidR="00651B28" w:rsidRPr="00452C41">
        <w:rPr>
          <w:sz w:val="20"/>
          <w:szCs w:val="20"/>
        </w:rPr>
        <w:fldChar w:fldCharType="end"/>
      </w:r>
      <w:r w:rsidR="00997C15" w:rsidRPr="00452C41">
        <w:rPr>
          <w:sz w:val="20"/>
          <w:szCs w:val="20"/>
        </w:rPr>
        <w:t>]</w:t>
      </w:r>
      <w:r w:rsidRPr="00452C41">
        <w:rPr>
          <w:sz w:val="20"/>
          <w:szCs w:val="20"/>
        </w:rPr>
        <w:t xml:space="preserve">. </w:t>
      </w:r>
    </w:p>
    <w:p w14:paraId="250D4E22" w14:textId="6F350E69" w:rsidR="00DF28B1" w:rsidRPr="00452C41" w:rsidRDefault="0073082C" w:rsidP="00385B2D">
      <w:pPr>
        <w:ind w:firstLine="720"/>
        <w:jc w:val="both"/>
        <w:outlineLvl w:val="0"/>
        <w:rPr>
          <w:sz w:val="20"/>
          <w:szCs w:val="20"/>
        </w:rPr>
      </w:pPr>
      <w:r w:rsidRPr="00452C41">
        <w:rPr>
          <w:sz w:val="20"/>
          <w:szCs w:val="20"/>
        </w:rPr>
        <w:t xml:space="preserve">All end points </w:t>
      </w:r>
      <w:r w:rsidR="00DF28B1" w:rsidRPr="00452C41">
        <w:rPr>
          <w:sz w:val="20"/>
          <w:szCs w:val="20"/>
        </w:rPr>
        <w:t>were evaluated at pre-randomization (study treatments were initiated ≤14 days) and were repeated ≤14 days of the final treatment session at postintervention (</w:t>
      </w:r>
      <w:r w:rsidRPr="00452C41">
        <w:rPr>
          <w:sz w:val="20"/>
          <w:szCs w:val="20"/>
        </w:rPr>
        <w:t xml:space="preserve">Week </w:t>
      </w:r>
      <w:r w:rsidR="004229D9" w:rsidRPr="00452C41">
        <w:rPr>
          <w:sz w:val="20"/>
          <w:szCs w:val="20"/>
        </w:rPr>
        <w:t>17</w:t>
      </w:r>
      <w:r w:rsidR="00DF28B1" w:rsidRPr="00452C41">
        <w:rPr>
          <w:sz w:val="20"/>
          <w:szCs w:val="20"/>
        </w:rPr>
        <w:t xml:space="preserve">). </w:t>
      </w:r>
      <w:bookmarkStart w:id="6" w:name="_Hlk68003670"/>
      <w:r w:rsidR="00DF28B1" w:rsidRPr="00452C41">
        <w:rPr>
          <w:sz w:val="20"/>
          <w:szCs w:val="20"/>
        </w:rPr>
        <w:t xml:space="preserve">Tolerability was assessed by multiple endpoints including: rate of lost to follow up (LTF; </w:t>
      </w:r>
      <w:r w:rsidR="00BF14B4" w:rsidRPr="00452C41">
        <w:rPr>
          <w:sz w:val="20"/>
          <w:szCs w:val="20"/>
        </w:rPr>
        <w:t xml:space="preserve">lack of </w:t>
      </w:r>
      <w:r w:rsidR="00DF28B1" w:rsidRPr="00452C41">
        <w:rPr>
          <w:sz w:val="20"/>
          <w:szCs w:val="20"/>
        </w:rPr>
        <w:t>completion of postintervention assessments), attendance (ratio of total attended to planned treatments), permanent discontinuation (treatment discontinuation prior to week 16), treatment interruption (missing ≥3 consecutive planned sessions), dose modification [≥10% of sessions requiring modification (reduction / escalation) of intensity and/or duration], pre-treatment dose modification (reduction of pre-treatment session intensity), early session termination (termination of session prior to planned duration), and relative dose intensity (RDI, defined as the ratio of total “completed” to total  “planned” cumulative dose).</w:t>
      </w:r>
      <w:r w:rsidR="00DF28B1" w:rsidRPr="00452C41">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 </w:instrText>
      </w:r>
      <w:r w:rsidR="009F1998">
        <w:rPr>
          <w:sz w:val="20"/>
          <w:szCs w:val="20"/>
        </w:rPr>
        <w:fldChar w:fldCharType="begin">
          <w:fldData xml:space="preserve">PEVuZE5vdGU+PENpdGU+PEF1dGhvcj5TY290dDwvQXV0aG9yPjxZZWFyPjIwMTg8L1llYXI+PFJl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</w:fldData>
        </w:fldChar>
      </w:r>
      <w:r w:rsidR="009F1998">
        <w:rPr>
          <w:sz w:val="20"/>
          <w:szCs w:val="20"/>
        </w:rPr>
        <w:instrText xml:space="preserve"> ADDIN EN.CITE.DATA </w:instrText>
      </w:r>
      <w:r w:rsidR="009F1998">
        <w:rPr>
          <w:sz w:val="20"/>
          <w:szCs w:val="20"/>
        </w:rPr>
      </w:r>
      <w:r w:rsidR="009F1998">
        <w:rPr>
          <w:sz w:val="20"/>
          <w:szCs w:val="20"/>
        </w:rPr>
        <w:fldChar w:fldCharType="end"/>
      </w:r>
      <w:r w:rsidR="00DF28B1" w:rsidRPr="00452C41">
        <w:rPr>
          <w:sz w:val="20"/>
          <w:szCs w:val="20"/>
        </w:rPr>
      </w:r>
      <w:r w:rsidR="00DF28B1" w:rsidRPr="00452C41">
        <w:rPr>
          <w:sz w:val="20"/>
          <w:szCs w:val="20"/>
        </w:rPr>
        <w:fldChar w:fldCharType="separate"/>
      </w:r>
      <w:r w:rsidR="009F1998">
        <w:rPr>
          <w:noProof/>
          <w:sz w:val="20"/>
          <w:szCs w:val="20"/>
        </w:rPr>
        <w:t>[2]</w:t>
      </w:r>
      <w:r w:rsidR="00DF28B1" w:rsidRPr="00452C41">
        <w:rPr>
          <w:sz w:val="20"/>
          <w:szCs w:val="20"/>
        </w:rPr>
        <w:fldChar w:fldCharType="end"/>
      </w:r>
      <w:bookmarkEnd w:id="6"/>
      <w:r w:rsidR="00DF28B1" w:rsidRPr="00452C41">
        <w:rPr>
          <w:sz w:val="20"/>
          <w:szCs w:val="20"/>
        </w:rPr>
        <w:t xml:space="preserve"> </w:t>
      </w:r>
      <w:r w:rsidR="00051734" w:rsidRPr="00452C41">
        <w:rPr>
          <w:sz w:val="20"/>
          <w:szCs w:val="20"/>
        </w:rPr>
        <w:t xml:space="preserve">Early session termination was not assessed in RT. </w:t>
      </w:r>
      <w:bookmarkStart w:id="7" w:name="_Hlk68004215"/>
      <w:r w:rsidR="00DF28B1" w:rsidRPr="00452C41">
        <w:rPr>
          <w:sz w:val="20"/>
          <w:szCs w:val="20"/>
        </w:rPr>
        <w:t xml:space="preserve">Safety was evaluated by the type and prevalence of serious (i.e., life-threatening, hospitalization, significant incapacity, important medical events) and non-serious (e.g., knee, back pain) adverse events during </w:t>
      </w:r>
      <w:r w:rsidR="008E05B6">
        <w:rPr>
          <w:sz w:val="20"/>
          <w:szCs w:val="20"/>
        </w:rPr>
        <w:t xml:space="preserve">CPET and </w:t>
      </w:r>
      <w:r w:rsidR="00DF28B1" w:rsidRPr="00452C41">
        <w:rPr>
          <w:sz w:val="20"/>
          <w:szCs w:val="20"/>
        </w:rPr>
        <w:t>training sessions</w:t>
      </w:r>
      <w:r w:rsidR="0039122A">
        <w:rPr>
          <w:sz w:val="20"/>
          <w:szCs w:val="20"/>
        </w:rPr>
        <w:t xml:space="preserve"> by Exercise Physiologists</w:t>
      </w:r>
      <w:r w:rsidR="00DF28B1" w:rsidRPr="00452C41">
        <w:rPr>
          <w:sz w:val="20"/>
          <w:szCs w:val="20"/>
        </w:rPr>
        <w:t>.</w:t>
      </w:r>
      <w:bookmarkEnd w:id="7"/>
      <w:r w:rsidR="00DF28B1" w:rsidRPr="00452C41">
        <w:rPr>
          <w:sz w:val="20"/>
          <w:szCs w:val="20"/>
        </w:rPr>
        <w:t xml:space="preserve"> Non-protocol exercise was </w:t>
      </w:r>
      <w:r w:rsidR="00DF28B1" w:rsidRPr="00452C41">
        <w:rPr>
          <w:iCs/>
          <w:sz w:val="20"/>
          <w:szCs w:val="20"/>
        </w:rPr>
        <w:t xml:space="preserve">assessed using a validated </w:t>
      </w:r>
      <w:r w:rsidR="00C45E89" w:rsidRPr="00452C41">
        <w:rPr>
          <w:iCs/>
          <w:sz w:val="20"/>
          <w:szCs w:val="20"/>
        </w:rPr>
        <w:t>survey</w:t>
      </w:r>
      <w:r w:rsidR="00DF28B1" w:rsidRPr="00452C41">
        <w:rPr>
          <w:iCs/>
          <w:sz w:val="20"/>
          <w:szCs w:val="20"/>
        </w:rPr>
        <w:t>.</w:t>
      </w:r>
      <w:r w:rsidR="00DF28B1" w:rsidRPr="00452C41">
        <w:rPr>
          <w:iCs/>
          <w:sz w:val="20"/>
          <w:szCs w:val="20"/>
        </w:rPr>
        <w:fldChar w:fldCharType="begin"/>
      </w:r>
      <w:r w:rsidR="009F1998">
        <w:rPr>
          <w:iCs/>
          <w:sz w:val="20"/>
          <w:szCs w:val="20"/>
        </w:rPr>
        <w:instrText xml:space="preserve"> ADDIN EN.CITE &lt;EndNote&gt;&lt;Cite&gt;&lt;Author&gt;Godin&lt;/Author&gt;&lt;Year&gt;1985&lt;/Year&gt;&lt;RecNum&gt;6216&lt;/RecNum&gt;&lt;DisplayText&gt;[11]&lt;/DisplayText&gt;&lt;record&gt;&lt;rec-number&gt;6216&lt;/rec-number&gt;&lt;foreign-keys&gt;&lt;key app="EN" db-id="2srdt0z920029oepvvmpfxf4ppxfedpt95xt" timestamp="1555187291"&gt;6216&lt;/key&gt;&lt;/foreign-keys&gt;&lt;ref-type name="Journal Article"&gt;17&lt;/ref-type&gt;&lt;contributors&gt;&lt;authors&gt;&lt;author&gt;Godin, G.&lt;/author&gt;&lt;author&gt;Shephard, R. J.&lt;/author&gt;&lt;/authors&gt;&lt;/contributors&gt;&lt;titles&gt;&lt;title&gt;A simple method to assess exercise behavior in the community&lt;/title&gt;&lt;secondary-title&gt;Can J Appl Sport Sci&lt;/secondary-title&gt;&lt;alt-title&gt;Canadian journal of applied sport sciences. Journal canadien des sciences appliquees au sport&lt;/alt-title&gt;&lt;/titles&gt;&lt;periodical&gt;&lt;full-title&gt;Can J Appl Sport Sci&lt;/full-title&gt;&lt;abbr-1&gt;Canadian journal of applied sport sciences. Journal canadien des sciences appliquees au sport&lt;/abbr-1&gt;&lt;/periodical&gt;&lt;alt-periodical&gt;&lt;full-title&gt;Can J Appl Sport Sci&lt;/full-title&gt;&lt;abbr-1&gt;Canadian journal of applied sport sciences. Journal canadien des sciences appliquees au sport&lt;/abbr-1&gt;&lt;/alt-periodical&gt;&lt;pages&gt;141-6&lt;/pages&gt;&lt;volume&gt;10&lt;/volume&gt;&lt;number&gt;3&lt;/number&gt;&lt;keywords&gt;&lt;keyword&gt;Adolescent&lt;/keyword&gt;&lt;keyword&gt;Adult&lt;/keyword&gt;&lt;keyword&gt;Aged&lt;/keyword&gt;&lt;keyword&gt;Body Weight&lt;/keyword&gt;&lt;keyword&gt;Female&lt;/keyword&gt;&lt;keyword&gt;*Health Promotion&lt;/keyword&gt;&lt;keyword&gt;Humans&lt;/keyword&gt;&lt;keyword&gt;Life Style&lt;/keyword&gt;&lt;keyword&gt;Male&lt;/keyword&gt;&lt;keyword&gt;Middle Aged&lt;/keyword&gt;&lt;keyword&gt;Oxygen/physiology&lt;/keyword&gt;&lt;keyword&gt;*Physical Exertion&lt;/keyword&gt;&lt;keyword&gt;*Physical Fitness&lt;/keyword&gt;&lt;/keywords&gt;&lt;dates&gt;&lt;year&gt;1985&lt;/year&gt;&lt;pub-dates&gt;&lt;date&gt;Sep&lt;/date&gt;&lt;/pub-dates&gt;&lt;/dates&gt;&lt;isbn&gt;0700-3978 (Print)&amp;#xD;0700-3978 (Linking)&lt;/isbn&gt;&lt;accession-num&gt;4053261&lt;/accession-num&gt;&lt;urls&gt;&lt;related-urls&gt;&lt;url&gt;http://www.ncbi.nlm.nih.gov/pubmed/4053261&lt;/url&gt;&lt;/related-urls&gt;&lt;/urls&gt;&lt;/record&gt;&lt;/Cite&gt;&lt;/EndNote&gt;</w:instrText>
      </w:r>
      <w:r w:rsidR="00DF28B1" w:rsidRPr="00452C41">
        <w:rPr>
          <w:iCs/>
          <w:sz w:val="20"/>
          <w:szCs w:val="20"/>
        </w:rPr>
        <w:fldChar w:fldCharType="separate"/>
      </w:r>
      <w:r w:rsidR="009F1998">
        <w:rPr>
          <w:iCs/>
          <w:noProof/>
          <w:sz w:val="20"/>
          <w:szCs w:val="20"/>
        </w:rPr>
        <w:t>[11]</w:t>
      </w:r>
      <w:r w:rsidR="00DF28B1" w:rsidRPr="00452C41">
        <w:rPr>
          <w:sz w:val="20"/>
          <w:szCs w:val="20"/>
        </w:rPr>
        <w:fldChar w:fldCharType="end"/>
      </w:r>
    </w:p>
    <w:p w14:paraId="0A7B44C9" w14:textId="1EE788AC" w:rsidR="00DF28B1" w:rsidRPr="00452C41" w:rsidRDefault="00DF28B1" w:rsidP="00385B2D">
      <w:pPr>
        <w:ind w:firstLine="720"/>
        <w:jc w:val="both"/>
        <w:outlineLvl w:val="0"/>
        <w:rPr>
          <w:sz w:val="20"/>
          <w:szCs w:val="20"/>
        </w:rPr>
      </w:pPr>
      <w:r w:rsidRPr="00452C41">
        <w:rPr>
          <w:sz w:val="20"/>
          <w:szCs w:val="20"/>
        </w:rPr>
        <w:t xml:space="preserve">Dedicated study personnel with at least a </w:t>
      </w:r>
      <w:proofErr w:type="spellStart"/>
      <w:proofErr w:type="gramStart"/>
      <w:r w:rsidRPr="00452C41">
        <w:rPr>
          <w:sz w:val="20"/>
          <w:szCs w:val="20"/>
        </w:rPr>
        <w:t>Bachelor</w:t>
      </w:r>
      <w:r w:rsidR="004229D9" w:rsidRPr="00452C41">
        <w:rPr>
          <w:sz w:val="20"/>
          <w:szCs w:val="20"/>
        </w:rPr>
        <w:t>s</w:t>
      </w:r>
      <w:proofErr w:type="spellEnd"/>
      <w:proofErr w:type="gramEnd"/>
      <w:r w:rsidRPr="00452C41">
        <w:rPr>
          <w:sz w:val="20"/>
          <w:szCs w:val="20"/>
        </w:rPr>
        <w:t xml:space="preserve"> degree in exercise science conducted all</w:t>
      </w:r>
      <w:r w:rsidR="0073082C" w:rsidRPr="00452C41">
        <w:rPr>
          <w:sz w:val="20"/>
          <w:szCs w:val="20"/>
        </w:rPr>
        <w:t xml:space="preserve"> study </w:t>
      </w:r>
      <w:r w:rsidRPr="00452C41">
        <w:rPr>
          <w:sz w:val="20"/>
          <w:szCs w:val="20"/>
        </w:rPr>
        <w:t>assessments. Physiologic assessments were standardized in terms of time of day, order of assessments, pre-assessment fasting and exercise restrictions, and CPET procedures at all time</w:t>
      </w:r>
      <w:r w:rsidR="0073082C" w:rsidRPr="00452C41">
        <w:rPr>
          <w:sz w:val="20"/>
          <w:szCs w:val="20"/>
        </w:rPr>
        <w:t>-</w:t>
      </w:r>
      <w:r w:rsidRPr="00452C41">
        <w:rPr>
          <w:sz w:val="20"/>
          <w:szCs w:val="20"/>
        </w:rPr>
        <w:t>points.</w:t>
      </w:r>
    </w:p>
    <w:p w14:paraId="481B3062" w14:textId="1007928B" w:rsidR="009D465D" w:rsidRPr="00452C41" w:rsidRDefault="009D465D" w:rsidP="00385B2D">
      <w:pPr>
        <w:jc w:val="both"/>
        <w:outlineLvl w:val="0"/>
        <w:rPr>
          <w:sz w:val="20"/>
          <w:szCs w:val="20"/>
        </w:rPr>
      </w:pPr>
    </w:p>
    <w:p w14:paraId="42938F50" w14:textId="023D922A" w:rsidR="009D465D" w:rsidRPr="00452C41" w:rsidRDefault="00A90FF6" w:rsidP="00385B2D">
      <w:pPr>
        <w:jc w:val="both"/>
        <w:rPr>
          <w:b/>
          <w:sz w:val="20"/>
          <w:szCs w:val="20"/>
        </w:rPr>
      </w:pPr>
      <w:r w:rsidRPr="00452C41">
        <w:rPr>
          <w:b/>
          <w:sz w:val="20"/>
          <w:szCs w:val="20"/>
        </w:rPr>
        <w:t xml:space="preserve">Study </w:t>
      </w:r>
      <w:r w:rsidR="009D465D" w:rsidRPr="00452C41">
        <w:rPr>
          <w:b/>
          <w:sz w:val="20"/>
          <w:szCs w:val="20"/>
        </w:rPr>
        <w:t>Oversight</w:t>
      </w:r>
    </w:p>
    <w:p w14:paraId="31EDC9AE" w14:textId="77777777" w:rsidR="009D465D" w:rsidRPr="00452C41" w:rsidRDefault="009D465D" w:rsidP="00385B2D">
      <w:pPr>
        <w:ind w:firstLine="720"/>
        <w:jc w:val="both"/>
        <w:rPr>
          <w:sz w:val="20"/>
          <w:szCs w:val="20"/>
        </w:rPr>
      </w:pPr>
      <w:r w:rsidRPr="00452C41">
        <w:rPr>
          <w:sz w:val="20"/>
          <w:szCs w:val="20"/>
        </w:rPr>
        <w:t>The trial was designed and conducted by the authors. All the authors confirm that the trial conformed to the protocol and attest to the accuracy and completeness of the data. The senior author wrote the first draft of the manuscript. All authors had full access to the data and were involved in data interpretation, in writing and reviewing subsequent manuscript drafts, and in making the decision to submit the manuscript for publication. Trial conduct was monitored by the data safety and monitoring board at each study location.</w:t>
      </w:r>
    </w:p>
    <w:p w14:paraId="0E90CE45" w14:textId="55065B31" w:rsidR="00E96987" w:rsidRPr="00452C41" w:rsidRDefault="00E96987" w:rsidP="00385B2D">
      <w:pPr>
        <w:ind w:firstLine="720"/>
        <w:jc w:val="both"/>
        <w:outlineLvl w:val="0"/>
        <w:rPr>
          <w:sz w:val="20"/>
          <w:szCs w:val="20"/>
        </w:rPr>
      </w:pPr>
      <w:r w:rsidRPr="00452C41">
        <w:rPr>
          <w:sz w:val="20"/>
          <w:szCs w:val="20"/>
        </w:rPr>
        <w:t xml:space="preserve"> </w:t>
      </w:r>
    </w:p>
    <w:p w14:paraId="29F5AB7C" w14:textId="7C713D33" w:rsidR="00DC3F0D" w:rsidRPr="00452C41" w:rsidRDefault="00DC3F0D" w:rsidP="00385B2D">
      <w:pPr>
        <w:jc w:val="both"/>
        <w:outlineLvl w:val="0"/>
        <w:rPr>
          <w:b/>
          <w:sz w:val="20"/>
          <w:szCs w:val="20"/>
        </w:rPr>
      </w:pPr>
      <w:r w:rsidRPr="00452C41">
        <w:rPr>
          <w:b/>
          <w:sz w:val="20"/>
          <w:szCs w:val="20"/>
        </w:rPr>
        <w:t>Statistical Considerations</w:t>
      </w:r>
    </w:p>
    <w:p w14:paraId="22D608CA" w14:textId="3C80050D" w:rsidR="005324A0" w:rsidRPr="00452C41" w:rsidRDefault="00AC4CFC" w:rsidP="00385B2D">
      <w:pPr>
        <w:ind w:firstLine="720"/>
        <w:jc w:val="both"/>
        <w:outlineLvl w:val="0"/>
        <w:rPr>
          <w:sz w:val="20"/>
          <w:szCs w:val="20"/>
        </w:rPr>
      </w:pPr>
      <w:r w:rsidRPr="00452C41">
        <w:rPr>
          <w:sz w:val="20"/>
          <w:szCs w:val="20"/>
        </w:rPr>
        <w:t>All analyses were conducted under the intention-to-treat (ITT) principle. Missing values for the primary endpoint</w:t>
      </w:r>
      <w:r w:rsidR="00BA108E" w:rsidRPr="00452C41">
        <w:rPr>
          <w:sz w:val="20"/>
          <w:szCs w:val="20"/>
        </w:rPr>
        <w:t xml:space="preserve"> (n=11)</w:t>
      </w:r>
      <w:r w:rsidRPr="00452C41">
        <w:rPr>
          <w:sz w:val="20"/>
          <w:szCs w:val="20"/>
        </w:rPr>
        <w:t xml:space="preserve"> were imputed with both multiple imputation using a Monte Carlo Markov single-chain method assuming a multivariate normal distribution and initial mean and covariance estimates derived using the expectation–maximization algorithm, and last observation carried forward (LOCF). </w:t>
      </w:r>
      <w:r w:rsidR="00E65272" w:rsidRPr="00452C41">
        <w:rPr>
          <w:sz w:val="20"/>
          <w:szCs w:val="20"/>
        </w:rPr>
        <w:t>Multiple imputation models included age, baseline and postintervention VO</w:t>
      </w:r>
      <w:r w:rsidR="00E65272" w:rsidRPr="00452C41">
        <w:rPr>
          <w:sz w:val="20"/>
          <w:szCs w:val="20"/>
          <w:vertAlign w:val="subscript"/>
        </w:rPr>
        <w:t>2</w:t>
      </w:r>
      <w:r w:rsidR="00E65272" w:rsidRPr="00452C41">
        <w:rPr>
          <w:sz w:val="20"/>
          <w:szCs w:val="20"/>
        </w:rPr>
        <w:t>peak (</w:t>
      </w:r>
      <w:r w:rsidR="004229D9" w:rsidRPr="00452C41">
        <w:rPr>
          <w:sz w:val="20"/>
          <w:szCs w:val="20"/>
        </w:rPr>
        <w:t>O</w:t>
      </w:r>
      <w:r w:rsidR="004229D9" w:rsidRPr="00452C41">
        <w:rPr>
          <w:sz w:val="20"/>
          <w:szCs w:val="20"/>
          <w:vertAlign w:val="subscript"/>
        </w:rPr>
        <w:t>2</w:t>
      </w:r>
      <w:r w:rsidR="004229D9" w:rsidRPr="00452C41">
        <w:rPr>
          <w:sz w:val="20"/>
          <w:szCs w:val="20"/>
          <w:vertAlign w:val="superscript"/>
        </w:rPr>
        <w:t>.</w:t>
      </w:r>
      <w:r w:rsidR="004229D9" w:rsidRPr="00452C41">
        <w:rPr>
          <w:sz w:val="20"/>
          <w:szCs w:val="20"/>
        </w:rPr>
        <w:t>kg</w:t>
      </w:r>
      <w:r w:rsidR="004229D9" w:rsidRPr="00452C41">
        <w:rPr>
          <w:sz w:val="20"/>
          <w:szCs w:val="20"/>
          <w:vertAlign w:val="superscript"/>
        </w:rPr>
        <w:t>-1.</w:t>
      </w:r>
      <w:r w:rsidR="004229D9" w:rsidRPr="00452C41">
        <w:rPr>
          <w:sz w:val="20"/>
          <w:szCs w:val="20"/>
        </w:rPr>
        <w:t>min</w:t>
      </w:r>
      <w:r w:rsidR="004229D9" w:rsidRPr="00452C41">
        <w:rPr>
          <w:sz w:val="20"/>
          <w:szCs w:val="20"/>
          <w:vertAlign w:val="superscript"/>
        </w:rPr>
        <w:t>-1</w:t>
      </w:r>
      <w:r w:rsidR="00E65272" w:rsidRPr="00452C41">
        <w:rPr>
          <w:sz w:val="20"/>
          <w:szCs w:val="20"/>
        </w:rPr>
        <w:t xml:space="preserve">), </w:t>
      </w:r>
      <w:r w:rsidR="00E47626" w:rsidRPr="00452C41">
        <w:rPr>
          <w:sz w:val="20"/>
          <w:szCs w:val="20"/>
        </w:rPr>
        <w:t xml:space="preserve">resting </w:t>
      </w:r>
      <w:r w:rsidR="0053580E" w:rsidRPr="00452C41">
        <w:rPr>
          <w:sz w:val="20"/>
          <w:szCs w:val="20"/>
        </w:rPr>
        <w:t>endpoints (</w:t>
      </w:r>
      <w:r w:rsidR="00E65272" w:rsidRPr="00452C41">
        <w:rPr>
          <w:sz w:val="20"/>
          <w:szCs w:val="20"/>
        </w:rPr>
        <w:t>SBP</w:t>
      </w:r>
      <w:r w:rsidR="00E47626" w:rsidRPr="00452C41">
        <w:rPr>
          <w:sz w:val="20"/>
          <w:szCs w:val="20"/>
        </w:rPr>
        <w:t xml:space="preserve">, </w:t>
      </w:r>
      <w:r w:rsidR="00E65272" w:rsidRPr="00452C41">
        <w:rPr>
          <w:sz w:val="20"/>
          <w:szCs w:val="20"/>
        </w:rPr>
        <w:t>DBP</w:t>
      </w:r>
      <w:r w:rsidR="00E47626" w:rsidRPr="00452C41">
        <w:rPr>
          <w:sz w:val="20"/>
          <w:szCs w:val="20"/>
        </w:rPr>
        <w:t>, and heart rate</w:t>
      </w:r>
      <w:r w:rsidR="0053580E" w:rsidRPr="00452C41">
        <w:rPr>
          <w:sz w:val="20"/>
          <w:szCs w:val="20"/>
        </w:rPr>
        <w:t>)</w:t>
      </w:r>
      <w:r w:rsidR="00E47626" w:rsidRPr="00452C41">
        <w:rPr>
          <w:sz w:val="20"/>
          <w:szCs w:val="20"/>
        </w:rPr>
        <w:t xml:space="preserve">, and peak </w:t>
      </w:r>
      <w:r w:rsidR="0053580E" w:rsidRPr="00452C41">
        <w:rPr>
          <w:sz w:val="20"/>
          <w:szCs w:val="20"/>
        </w:rPr>
        <w:t>endpoints (</w:t>
      </w:r>
      <w:r w:rsidR="00E47626" w:rsidRPr="00452C41">
        <w:rPr>
          <w:sz w:val="20"/>
          <w:szCs w:val="20"/>
        </w:rPr>
        <w:t>SBP, DBP, HR, ventilation, and respiratory exchange ratio</w:t>
      </w:r>
      <w:r w:rsidR="0053580E" w:rsidRPr="00452C41">
        <w:rPr>
          <w:sz w:val="20"/>
          <w:szCs w:val="20"/>
        </w:rPr>
        <w:t>)</w:t>
      </w:r>
      <w:r w:rsidR="00E47626" w:rsidRPr="00452C41">
        <w:rPr>
          <w:sz w:val="20"/>
          <w:szCs w:val="20"/>
        </w:rPr>
        <w:t xml:space="preserve">, </w:t>
      </w:r>
      <w:r w:rsidR="00E65272" w:rsidRPr="00452C41">
        <w:rPr>
          <w:sz w:val="20"/>
          <w:szCs w:val="20"/>
        </w:rPr>
        <w:t xml:space="preserve">and 10 imputation datasets were created after 400 burn-in imputations with 200 imputations between datasets. </w:t>
      </w:r>
      <w:r w:rsidRPr="00452C41">
        <w:rPr>
          <w:sz w:val="20"/>
          <w:szCs w:val="20"/>
        </w:rPr>
        <w:t xml:space="preserve">Results of both approaches were similar thus only data from LOCF analyses are reported. LOCF was also used for missing values in secondary end points. Changes between baseline and week 17 were estimated for each patient individually; the mean change within each treatment group was used to estimate group differences. </w:t>
      </w:r>
      <w:r w:rsidR="00D70AA8" w:rsidRPr="00D70AA8">
        <w:rPr>
          <w:sz w:val="20"/>
          <w:szCs w:val="20"/>
        </w:rPr>
        <w:t xml:space="preserve">The primary analysis used an Analysis of Covariance (ANCOVA) to estimate the association of study group with change from baseline to week 17 for the primary and secondary end points. Comparisons between exercise regimens were for exploratory purposes only. Analyses were adjusted for baseline values of the end point, and other variables displaying imbalance across group assignment. Hence, all analyses were adjusted for age, body mass index (BMI), and comorbidities [i.e., coronary artery disease, chronic obstructive pulmonary disease (COPD), and hypertension]. </w:t>
      </w:r>
      <w:r w:rsidRPr="00452C41">
        <w:rPr>
          <w:sz w:val="20"/>
          <w:szCs w:val="20"/>
        </w:rPr>
        <w:t>The proportion of patients in each treatment group with a VO</w:t>
      </w:r>
      <w:r w:rsidRPr="00452C41">
        <w:rPr>
          <w:sz w:val="20"/>
          <w:szCs w:val="20"/>
          <w:vertAlign w:val="subscript"/>
        </w:rPr>
        <w:t>2</w:t>
      </w:r>
      <w:r w:rsidRPr="00452C41">
        <w:rPr>
          <w:sz w:val="20"/>
          <w:szCs w:val="20"/>
        </w:rPr>
        <w:t>peak improvement greater than the technical error (TE) was evaluated as previously described.</w:t>
      </w:r>
      <w:r w:rsidRPr="00452C41">
        <w:rPr>
          <w:sz w:val="20"/>
          <w:szCs w:val="20"/>
        </w:rPr>
        <w:fldChar w:fldCharType="begin"/>
      </w:r>
      <w:r w:rsidR="009F1998">
        <w:rPr>
          <w:sz w:val="20"/>
          <w:szCs w:val="20"/>
        </w:rPr>
        <w:instrText xml:space="preserve"> ADDIN EN.CITE &lt;EndNote&gt;&lt;Cite&gt;&lt;Author&gt;Ross&lt;/Author&gt;&lt;Year&gt;2015&lt;/Year&gt;&lt;RecNum&gt;5305&lt;/RecNum&gt;&lt;DisplayText&gt;[12]&lt;/DisplayText&gt;&lt;record&gt;&lt;rec-number&gt;5305&lt;/rec-number&gt;&lt;foreign-keys&gt;&lt;key app="EN" db-id="2srdt0z920029oepvvmpfxf4ppxfedpt95xt" timestamp="1496260527"&gt;5305&lt;/key&gt;&lt;/foreign-keys&gt;&lt;ref-type name="Journal Article"&gt;17&lt;/ref-type&gt;&lt;contributors&gt;&lt;authors&gt;&lt;author&gt;Ross, R.&lt;/author&gt;&lt;author&gt;de Lannoy, L.&lt;/author&gt;&lt;author&gt;Stotz, P. J.&lt;/author&gt;&lt;/authors&gt;&lt;/contributors&gt;&lt;auth-address&gt;School of Kinesiology and Health Studies, Queen&amp;apos;s University, Kingston, Ontario, Canada; School of Medicine, Division of Endocrinology and Metabolism, Queen&amp;apos;s University, Kingston, Ontario, Canada. Electronic address: rossr@queensu.ca.&amp;#xD;School of Kinesiology and Health Studies, Queen&amp;apos;s University, Kingston, Ontario, Canada.&lt;/auth-address&gt;&lt;titles&gt;&lt;title&gt;Separate Effects of Intensity and Amount of Exercise on Interindividual Cardiorespiratory Fitness Response&lt;/title&gt;&lt;secondary-title&gt;Mayo Clin Proc&lt;/secondary-title&gt;&lt;/titles&gt;&lt;periodical&gt;&lt;full-title&gt;Mayo Clin Proc&lt;/full-title&gt;&lt;/periodical&gt;&lt;pages&gt;1506-14&lt;/pages&gt;&lt;volume&gt;90&lt;/volume&gt;&lt;number&gt;11&lt;/number&gt;&lt;keywords&gt;&lt;keyword&gt;Adult&lt;/keyword&gt;&lt;keyword&gt;Exercise Test/methods&lt;/keyword&gt;&lt;keyword&gt;Exercise Therapy/*methods&lt;/keyword&gt;&lt;keyword&gt;Female&lt;/keyword&gt;&lt;keyword&gt;Humans&lt;/keyword&gt;&lt;keyword&gt;Male&lt;/keyword&gt;&lt;keyword&gt;Middle Aged&lt;/keyword&gt;&lt;keyword&gt;Monitoring, Physiologic/methods&lt;/keyword&gt;&lt;keyword&gt;*Obesity, Abdominal/physiopathology/psychology/therapy&lt;/keyword&gt;&lt;keyword&gt;Physical Exertion&lt;/keyword&gt;&lt;keyword&gt;*Physical Fitness&lt;/keyword&gt;&lt;keyword&gt;Sedentary Lifestyle&lt;/keyword&gt;&lt;keyword&gt;Treatment Outcome&lt;/keyword&gt;&lt;/keywords&gt;&lt;dates&gt;&lt;year&gt;2015&lt;/year&gt;&lt;pub-dates&gt;&lt;date&gt;Nov&lt;/date&gt;&lt;/pub-dates&gt;&lt;/dates&gt;&lt;isbn&gt;1942-5546 (Electronic)&amp;#xD;0025-6196 (Linking)&lt;/isbn&gt;&lt;accession-num&gt;26455890&lt;/accession-num&gt;&lt;urls&gt;&lt;related-urls&gt;&lt;url&gt;https://www.ncbi.nlm.nih.gov/pubmed/26455890&lt;/url&gt;&lt;/related-urls&gt;&lt;/urls&gt;&lt;electronic-resource-num&gt;10.1016/j.mayocp.2015.07.024&lt;/electronic-resource-num&gt;&lt;/record&gt;&lt;/Cite&gt;&lt;/EndNote&gt;</w:instrText>
      </w:r>
      <w:r w:rsidRPr="00452C41">
        <w:rPr>
          <w:sz w:val="20"/>
          <w:szCs w:val="20"/>
        </w:rPr>
        <w:fldChar w:fldCharType="separate"/>
      </w:r>
      <w:r w:rsidR="009F1998">
        <w:rPr>
          <w:noProof/>
          <w:sz w:val="20"/>
          <w:szCs w:val="20"/>
        </w:rPr>
        <w:t>[12]</w:t>
      </w:r>
      <w:r w:rsidRPr="00452C41">
        <w:rPr>
          <w:sz w:val="20"/>
          <w:szCs w:val="20"/>
        </w:rPr>
        <w:fldChar w:fldCharType="end"/>
      </w:r>
      <w:r w:rsidRPr="00452C41">
        <w:rPr>
          <w:sz w:val="20"/>
          <w:szCs w:val="20"/>
        </w:rPr>
        <w:t xml:space="preserve"> </w:t>
      </w:r>
      <w:r w:rsidR="00860890" w:rsidRPr="00452C41">
        <w:rPr>
          <w:sz w:val="20"/>
          <w:szCs w:val="20"/>
        </w:rPr>
        <w:t>Fisher’s Exact tests were used to compare rates of adverse events between study arms.</w:t>
      </w:r>
      <w:r w:rsidR="009D465D" w:rsidRPr="00452C41">
        <w:rPr>
          <w:sz w:val="20"/>
          <w:szCs w:val="20"/>
        </w:rPr>
        <w:t xml:space="preserve"> </w:t>
      </w:r>
      <w:bookmarkStart w:id="8" w:name="_Hlk78208132"/>
      <w:r w:rsidR="00860890" w:rsidRPr="00452C41">
        <w:rPr>
          <w:sz w:val="20"/>
          <w:szCs w:val="20"/>
        </w:rPr>
        <w:t>Tolerability measures were compared across arms with the Kruskal-Wallis test for continuous variables and the Fisher’s Exact test for categorical variables.</w:t>
      </w:r>
      <w:bookmarkEnd w:id="8"/>
      <w:r w:rsidR="00860890" w:rsidRPr="00452C41">
        <w:rPr>
          <w:sz w:val="20"/>
          <w:szCs w:val="20"/>
        </w:rPr>
        <w:t xml:space="preserve"> </w:t>
      </w:r>
      <w:r w:rsidR="009D465D" w:rsidRPr="00452C41">
        <w:rPr>
          <w:sz w:val="20"/>
          <w:szCs w:val="20"/>
        </w:rPr>
        <w:t>All analyses were conducted using SAS version 9.4 (SAS Institute, Cary, NC).</w:t>
      </w:r>
    </w:p>
    <w:p w14:paraId="0689108F" w14:textId="77777777" w:rsidR="005324A0" w:rsidRPr="00452C41" w:rsidRDefault="005324A0" w:rsidP="002F4722">
      <w:pPr>
        <w:rPr>
          <w:sz w:val="20"/>
          <w:szCs w:val="20"/>
        </w:rPr>
      </w:pPr>
      <w:r w:rsidRPr="00452C41">
        <w:rPr>
          <w:sz w:val="20"/>
          <w:szCs w:val="20"/>
        </w:rPr>
        <w:br w:type="page"/>
      </w:r>
    </w:p>
    <w:p w14:paraId="09FF3328" w14:textId="77777777" w:rsidR="009D465D" w:rsidRPr="00452C41" w:rsidRDefault="009D465D" w:rsidP="009D465D">
      <w:pPr>
        <w:ind w:firstLine="720"/>
        <w:outlineLvl w:val="0"/>
        <w:rPr>
          <w:sz w:val="20"/>
          <w:szCs w:val="20"/>
        </w:rPr>
      </w:pPr>
    </w:p>
    <w:p w14:paraId="719CCD65" w14:textId="77777777" w:rsidR="00432427" w:rsidRPr="00452C41" w:rsidRDefault="00432427" w:rsidP="00432427">
      <w:pPr>
        <w:rPr>
          <w:b/>
          <w:sz w:val="20"/>
          <w:szCs w:val="20"/>
        </w:rPr>
      </w:pPr>
    </w:p>
    <w:p w14:paraId="278083FE" w14:textId="10D38876" w:rsidR="00317C34" w:rsidRPr="00452C41" w:rsidRDefault="00541DC4" w:rsidP="00317C34">
      <w:pPr>
        <w:rPr>
          <w:sz w:val="20"/>
          <w:szCs w:val="20"/>
        </w:rPr>
      </w:pPr>
      <w:r>
        <w:rPr>
          <w:b/>
          <w:sz w:val="20"/>
          <w:szCs w:val="20"/>
        </w:rPr>
        <w:t>Supplementary</w:t>
      </w:r>
      <w:r w:rsidRPr="00452C41">
        <w:rPr>
          <w:b/>
          <w:sz w:val="20"/>
          <w:szCs w:val="20"/>
        </w:rPr>
        <w:t xml:space="preserve"> </w:t>
      </w:r>
      <w:r w:rsidR="00432427" w:rsidRPr="00452C41">
        <w:rPr>
          <w:b/>
          <w:sz w:val="20"/>
          <w:szCs w:val="20"/>
        </w:rPr>
        <w:t xml:space="preserve">Table 1. </w:t>
      </w:r>
      <w:r w:rsidR="004229D9" w:rsidRPr="00452C41">
        <w:rPr>
          <w:sz w:val="20"/>
          <w:szCs w:val="20"/>
        </w:rPr>
        <w:t>Exercise Treatment</w:t>
      </w:r>
      <w:r w:rsidR="00C52BFF" w:rsidRPr="00452C41">
        <w:rPr>
          <w:sz w:val="20"/>
          <w:szCs w:val="20"/>
        </w:rPr>
        <w:t xml:space="preserve"> Dose Modification</w:t>
      </w:r>
      <w:r w:rsidR="00317C34" w:rsidRPr="00452C41">
        <w:rPr>
          <w:sz w:val="20"/>
          <w:szCs w:val="20"/>
        </w:rPr>
        <w:t xml:space="preserve"> Guidelines</w:t>
      </w:r>
    </w:p>
    <w:p w14:paraId="265E362A" w14:textId="77777777" w:rsidR="00C2112E" w:rsidRPr="00452C41" w:rsidRDefault="00C2112E" w:rsidP="00317C34">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412"/>
      </w:tblGrid>
      <w:tr w:rsidR="00C2112E" w:rsidRPr="00452C41" w14:paraId="47240484" w14:textId="77777777" w:rsidTr="001F4831">
        <w:tc>
          <w:tcPr>
            <w:tcW w:w="5508" w:type="dxa"/>
            <w:tcBorders>
              <w:top w:val="single" w:sz="4" w:space="0" w:color="auto"/>
              <w:bottom w:val="single" w:sz="4" w:space="0" w:color="auto"/>
            </w:tcBorders>
            <w:shd w:val="clear" w:color="auto" w:fill="F3F3F3"/>
          </w:tcPr>
          <w:p w14:paraId="7287EE42" w14:textId="77777777" w:rsidR="00C2112E" w:rsidRPr="00452C41" w:rsidRDefault="00C2112E" w:rsidP="001F4831">
            <w:pPr>
              <w:rPr>
                <w:b/>
                <w:sz w:val="20"/>
                <w:szCs w:val="20"/>
              </w:rPr>
            </w:pPr>
          </w:p>
          <w:p w14:paraId="63CC46B2" w14:textId="77777777" w:rsidR="00C2112E" w:rsidRPr="00452C41" w:rsidRDefault="00C2112E" w:rsidP="001F4831">
            <w:pPr>
              <w:rPr>
                <w:b/>
                <w:sz w:val="20"/>
                <w:szCs w:val="20"/>
              </w:rPr>
            </w:pPr>
            <w:r w:rsidRPr="00452C41">
              <w:rPr>
                <w:b/>
                <w:sz w:val="20"/>
                <w:szCs w:val="20"/>
              </w:rPr>
              <w:t>Health-Related Event</w:t>
            </w:r>
          </w:p>
          <w:p w14:paraId="2EC10A15" w14:textId="77777777" w:rsidR="00C2112E" w:rsidRPr="00452C41" w:rsidRDefault="00C2112E" w:rsidP="001F4831">
            <w:pPr>
              <w:rPr>
                <w:b/>
                <w:sz w:val="20"/>
                <w:szCs w:val="20"/>
              </w:rPr>
            </w:pPr>
          </w:p>
        </w:tc>
        <w:tc>
          <w:tcPr>
            <w:tcW w:w="5508" w:type="dxa"/>
            <w:tcBorders>
              <w:top w:val="single" w:sz="4" w:space="0" w:color="auto"/>
              <w:bottom w:val="single" w:sz="4" w:space="0" w:color="auto"/>
            </w:tcBorders>
            <w:shd w:val="clear" w:color="auto" w:fill="F3F3F3"/>
          </w:tcPr>
          <w:p w14:paraId="3EACA54A" w14:textId="77777777" w:rsidR="00C2112E" w:rsidRPr="00452C41" w:rsidRDefault="00C2112E" w:rsidP="001F4831">
            <w:pPr>
              <w:rPr>
                <w:b/>
                <w:sz w:val="20"/>
                <w:szCs w:val="20"/>
              </w:rPr>
            </w:pPr>
          </w:p>
          <w:p w14:paraId="004DE3AD" w14:textId="3F091480" w:rsidR="00C2112E" w:rsidRPr="00452C41" w:rsidRDefault="00C2112E" w:rsidP="001F4831">
            <w:pPr>
              <w:rPr>
                <w:b/>
                <w:sz w:val="20"/>
                <w:szCs w:val="20"/>
              </w:rPr>
            </w:pPr>
            <w:r w:rsidRPr="00452C41">
              <w:rPr>
                <w:b/>
                <w:sz w:val="20"/>
                <w:szCs w:val="20"/>
              </w:rPr>
              <w:t>Action</w:t>
            </w:r>
          </w:p>
        </w:tc>
      </w:tr>
      <w:tr w:rsidR="00C2112E" w:rsidRPr="00452C41" w14:paraId="4FD8CC7F" w14:textId="77777777" w:rsidTr="001F4831">
        <w:tc>
          <w:tcPr>
            <w:tcW w:w="5508" w:type="dxa"/>
            <w:tcBorders>
              <w:top w:val="single" w:sz="4" w:space="0" w:color="auto"/>
            </w:tcBorders>
            <w:shd w:val="clear" w:color="auto" w:fill="FFFFFF" w:themeFill="background1"/>
          </w:tcPr>
          <w:p w14:paraId="4BCE1D49" w14:textId="77777777" w:rsidR="00C2112E" w:rsidRPr="00452C41" w:rsidRDefault="00C2112E" w:rsidP="001F4831">
            <w:pPr>
              <w:pStyle w:val="ListParagraph"/>
              <w:numPr>
                <w:ilvl w:val="0"/>
                <w:numId w:val="1"/>
              </w:numPr>
              <w:rPr>
                <w:sz w:val="20"/>
                <w:szCs w:val="20"/>
              </w:rPr>
            </w:pPr>
            <w:r w:rsidRPr="00452C41">
              <w:rPr>
                <w:sz w:val="20"/>
                <w:szCs w:val="20"/>
              </w:rPr>
              <w:t xml:space="preserve">Any serious </w:t>
            </w:r>
            <w:proofErr w:type="spellStart"/>
            <w:r w:rsidRPr="00452C41">
              <w:rPr>
                <w:sz w:val="20"/>
                <w:szCs w:val="20"/>
              </w:rPr>
              <w:t>event</w:t>
            </w:r>
            <w:r w:rsidRPr="00452C41">
              <w:rPr>
                <w:sz w:val="20"/>
                <w:szCs w:val="20"/>
                <w:vertAlign w:val="superscript"/>
              </w:rPr>
              <w:t>a</w:t>
            </w:r>
            <w:proofErr w:type="spellEnd"/>
            <w:r w:rsidRPr="00452C41">
              <w:rPr>
                <w:sz w:val="20"/>
                <w:szCs w:val="20"/>
              </w:rPr>
              <w:t xml:space="preserve"> </w:t>
            </w:r>
          </w:p>
        </w:tc>
        <w:tc>
          <w:tcPr>
            <w:tcW w:w="5508" w:type="dxa"/>
            <w:tcBorders>
              <w:top w:val="single" w:sz="4" w:space="0" w:color="auto"/>
            </w:tcBorders>
            <w:shd w:val="clear" w:color="auto" w:fill="FFFFFF" w:themeFill="background1"/>
          </w:tcPr>
          <w:p w14:paraId="3D465FDF" w14:textId="77777777" w:rsidR="00C2112E" w:rsidRPr="00452C41" w:rsidRDefault="00C2112E" w:rsidP="001F4831">
            <w:pPr>
              <w:pStyle w:val="ListParagraph"/>
              <w:numPr>
                <w:ilvl w:val="0"/>
                <w:numId w:val="1"/>
              </w:numPr>
              <w:rPr>
                <w:sz w:val="20"/>
                <w:szCs w:val="20"/>
              </w:rPr>
            </w:pPr>
            <w:r w:rsidRPr="00452C41">
              <w:rPr>
                <w:sz w:val="20"/>
                <w:szCs w:val="20"/>
              </w:rPr>
              <w:t>Early termination</w:t>
            </w:r>
          </w:p>
        </w:tc>
      </w:tr>
      <w:tr w:rsidR="00C2112E" w:rsidRPr="00452C41" w14:paraId="7EB4DF6D" w14:textId="77777777" w:rsidTr="001F4831">
        <w:tc>
          <w:tcPr>
            <w:tcW w:w="5508" w:type="dxa"/>
            <w:shd w:val="clear" w:color="auto" w:fill="F3F3F3"/>
          </w:tcPr>
          <w:p w14:paraId="4B29FFD9" w14:textId="77777777" w:rsidR="00C2112E" w:rsidRPr="00452C41" w:rsidRDefault="00C2112E" w:rsidP="001F4831">
            <w:pPr>
              <w:pStyle w:val="ListParagraph"/>
              <w:numPr>
                <w:ilvl w:val="0"/>
                <w:numId w:val="1"/>
              </w:numPr>
              <w:rPr>
                <w:sz w:val="20"/>
                <w:szCs w:val="20"/>
              </w:rPr>
            </w:pPr>
            <w:r w:rsidRPr="00452C41">
              <w:rPr>
                <w:sz w:val="20"/>
                <w:szCs w:val="20"/>
              </w:rPr>
              <w:t>Any patient request for early termination</w:t>
            </w:r>
          </w:p>
        </w:tc>
        <w:tc>
          <w:tcPr>
            <w:tcW w:w="5508" w:type="dxa"/>
            <w:shd w:val="clear" w:color="auto" w:fill="F3F3F3"/>
          </w:tcPr>
          <w:p w14:paraId="25490E43" w14:textId="77777777" w:rsidR="00C2112E" w:rsidRPr="00452C41" w:rsidRDefault="00C2112E" w:rsidP="001F4831">
            <w:pPr>
              <w:pStyle w:val="ListParagraph"/>
              <w:numPr>
                <w:ilvl w:val="0"/>
                <w:numId w:val="1"/>
              </w:numPr>
              <w:rPr>
                <w:sz w:val="20"/>
                <w:szCs w:val="20"/>
              </w:rPr>
            </w:pPr>
            <w:r w:rsidRPr="00452C41">
              <w:rPr>
                <w:sz w:val="20"/>
                <w:szCs w:val="20"/>
              </w:rPr>
              <w:t>Early termination</w:t>
            </w:r>
          </w:p>
        </w:tc>
      </w:tr>
      <w:tr w:rsidR="00C2112E" w:rsidRPr="00452C41" w14:paraId="6622147E" w14:textId="77777777" w:rsidTr="001F4831">
        <w:tc>
          <w:tcPr>
            <w:tcW w:w="5508" w:type="dxa"/>
            <w:shd w:val="clear" w:color="auto" w:fill="FFFFFF" w:themeFill="background1"/>
          </w:tcPr>
          <w:p w14:paraId="7BEC568C" w14:textId="77777777" w:rsidR="00C2112E" w:rsidRPr="00452C41" w:rsidRDefault="00C2112E" w:rsidP="001F4831">
            <w:pPr>
              <w:pStyle w:val="ListParagraph"/>
              <w:numPr>
                <w:ilvl w:val="0"/>
                <w:numId w:val="1"/>
              </w:numPr>
              <w:rPr>
                <w:sz w:val="20"/>
                <w:szCs w:val="20"/>
              </w:rPr>
            </w:pPr>
            <w:r w:rsidRPr="00452C41">
              <w:rPr>
                <w:sz w:val="20"/>
                <w:szCs w:val="20"/>
              </w:rPr>
              <w:t xml:space="preserve">Any non-serious adverse </w:t>
            </w:r>
            <w:proofErr w:type="spellStart"/>
            <w:r w:rsidRPr="00452C41">
              <w:rPr>
                <w:sz w:val="20"/>
                <w:szCs w:val="20"/>
              </w:rPr>
              <w:t>event</w:t>
            </w:r>
            <w:r w:rsidRPr="00452C41">
              <w:rPr>
                <w:sz w:val="20"/>
                <w:szCs w:val="20"/>
                <w:vertAlign w:val="superscript"/>
              </w:rPr>
              <w:t>b</w:t>
            </w:r>
            <w:proofErr w:type="spellEnd"/>
          </w:p>
        </w:tc>
        <w:tc>
          <w:tcPr>
            <w:tcW w:w="5508" w:type="dxa"/>
            <w:shd w:val="clear" w:color="auto" w:fill="FFFFFF" w:themeFill="background1"/>
          </w:tcPr>
          <w:p w14:paraId="34C1461A" w14:textId="77777777" w:rsidR="00C2112E" w:rsidRPr="00452C41" w:rsidRDefault="00C2112E" w:rsidP="001F4831">
            <w:pPr>
              <w:pStyle w:val="ListParagraph"/>
              <w:numPr>
                <w:ilvl w:val="0"/>
                <w:numId w:val="1"/>
              </w:numPr>
              <w:rPr>
                <w:sz w:val="20"/>
                <w:szCs w:val="20"/>
              </w:rPr>
            </w:pPr>
            <w:r w:rsidRPr="00452C41">
              <w:rPr>
                <w:sz w:val="20"/>
                <w:szCs w:val="20"/>
              </w:rPr>
              <w:t>If planned session intensity 55% to 75% workload</w:t>
            </w:r>
          </w:p>
          <w:p w14:paraId="75AB160E" w14:textId="77777777" w:rsidR="00C2112E" w:rsidRPr="00452C41" w:rsidRDefault="00C2112E" w:rsidP="001F4831">
            <w:pPr>
              <w:pStyle w:val="ListParagraph"/>
              <w:numPr>
                <w:ilvl w:val="1"/>
                <w:numId w:val="1"/>
              </w:numPr>
              <w:rPr>
                <w:sz w:val="20"/>
                <w:szCs w:val="20"/>
              </w:rPr>
            </w:pPr>
            <w:r w:rsidRPr="00452C41">
              <w:rPr>
                <w:sz w:val="20"/>
                <w:szCs w:val="20"/>
              </w:rPr>
              <w:t xml:space="preserve">Session modified to reduce workload </w:t>
            </w:r>
          </w:p>
          <w:p w14:paraId="3F7A0348" w14:textId="77777777" w:rsidR="00C2112E" w:rsidRPr="00452C41" w:rsidRDefault="00C2112E" w:rsidP="001F4831">
            <w:pPr>
              <w:pStyle w:val="ListParagraph"/>
              <w:numPr>
                <w:ilvl w:val="1"/>
                <w:numId w:val="1"/>
              </w:numPr>
              <w:rPr>
                <w:sz w:val="20"/>
                <w:szCs w:val="20"/>
              </w:rPr>
            </w:pPr>
            <w:r w:rsidRPr="00452C41">
              <w:rPr>
                <w:sz w:val="20"/>
                <w:szCs w:val="20"/>
              </w:rPr>
              <w:t>Dose could be adjusted up to 3 times before session termination</w:t>
            </w:r>
          </w:p>
          <w:p w14:paraId="46DCC616" w14:textId="77777777" w:rsidR="00C2112E" w:rsidRPr="00452C41" w:rsidRDefault="00C2112E" w:rsidP="001F4831">
            <w:pPr>
              <w:pStyle w:val="ListParagraph"/>
              <w:numPr>
                <w:ilvl w:val="0"/>
                <w:numId w:val="1"/>
              </w:numPr>
              <w:rPr>
                <w:sz w:val="20"/>
                <w:szCs w:val="20"/>
              </w:rPr>
            </w:pPr>
            <w:r w:rsidRPr="00452C41">
              <w:rPr>
                <w:sz w:val="20"/>
                <w:szCs w:val="20"/>
              </w:rPr>
              <w:t>If planned session intensity ≥85% workload</w:t>
            </w:r>
          </w:p>
          <w:p w14:paraId="1EA8072C" w14:textId="77777777" w:rsidR="00C2112E" w:rsidRPr="00452C41" w:rsidRDefault="00C2112E" w:rsidP="001F4831">
            <w:pPr>
              <w:pStyle w:val="ListParagraph"/>
              <w:numPr>
                <w:ilvl w:val="1"/>
                <w:numId w:val="1"/>
              </w:numPr>
              <w:rPr>
                <w:sz w:val="20"/>
                <w:szCs w:val="20"/>
              </w:rPr>
            </w:pPr>
            <w:r w:rsidRPr="00452C41">
              <w:rPr>
                <w:sz w:val="20"/>
                <w:szCs w:val="20"/>
              </w:rPr>
              <w:t>Session duration reduced to maintain intensity</w:t>
            </w:r>
          </w:p>
          <w:p w14:paraId="2F27D9E8" w14:textId="77777777" w:rsidR="00C2112E" w:rsidRPr="00452C41" w:rsidRDefault="00C2112E" w:rsidP="001F4831">
            <w:pPr>
              <w:pStyle w:val="ListParagraph"/>
              <w:numPr>
                <w:ilvl w:val="1"/>
                <w:numId w:val="1"/>
              </w:numPr>
              <w:rPr>
                <w:sz w:val="20"/>
                <w:szCs w:val="20"/>
              </w:rPr>
            </w:pPr>
            <w:r w:rsidRPr="00452C41">
              <w:rPr>
                <w:sz w:val="20"/>
                <w:szCs w:val="20"/>
              </w:rPr>
              <w:t xml:space="preserve">Patient encouraged to complete longest duration safely possible. </w:t>
            </w:r>
          </w:p>
          <w:p w14:paraId="26DF7898" w14:textId="77777777" w:rsidR="00C2112E" w:rsidRPr="00452C41" w:rsidRDefault="00C2112E" w:rsidP="001F4831">
            <w:pPr>
              <w:pStyle w:val="ListParagraph"/>
              <w:numPr>
                <w:ilvl w:val="1"/>
                <w:numId w:val="1"/>
              </w:numPr>
              <w:rPr>
                <w:sz w:val="20"/>
                <w:szCs w:val="20"/>
              </w:rPr>
            </w:pPr>
            <w:r w:rsidRPr="00452C41">
              <w:rPr>
                <w:sz w:val="20"/>
                <w:szCs w:val="20"/>
              </w:rPr>
              <w:t>For interval sessions, if patient not able to complete interval duration. Intervals were terminated after 2 consecutive intervals where unable to achieve at least half the planned duration.</w:t>
            </w:r>
          </w:p>
        </w:tc>
      </w:tr>
      <w:tr w:rsidR="00C2112E" w:rsidRPr="00452C41" w14:paraId="03502DF2" w14:textId="77777777" w:rsidTr="001F4831">
        <w:tc>
          <w:tcPr>
            <w:tcW w:w="5508" w:type="dxa"/>
            <w:tcBorders>
              <w:bottom w:val="single" w:sz="4" w:space="0" w:color="auto"/>
            </w:tcBorders>
            <w:shd w:val="clear" w:color="auto" w:fill="F3F3F3"/>
          </w:tcPr>
          <w:p w14:paraId="4479053B" w14:textId="77777777" w:rsidR="00C2112E" w:rsidRPr="00452C41" w:rsidRDefault="00C2112E" w:rsidP="001F4831">
            <w:pPr>
              <w:pStyle w:val="ListParagraph"/>
              <w:numPr>
                <w:ilvl w:val="0"/>
                <w:numId w:val="2"/>
              </w:numPr>
              <w:rPr>
                <w:sz w:val="20"/>
                <w:szCs w:val="20"/>
              </w:rPr>
            </w:pPr>
            <w:r w:rsidRPr="00452C41">
              <w:rPr>
                <w:sz w:val="20"/>
                <w:szCs w:val="20"/>
              </w:rPr>
              <w:t>Treatment interruption ≥ 21 consecutive planned sessions</w:t>
            </w:r>
          </w:p>
        </w:tc>
        <w:tc>
          <w:tcPr>
            <w:tcW w:w="5508" w:type="dxa"/>
            <w:tcBorders>
              <w:bottom w:val="single" w:sz="4" w:space="0" w:color="auto"/>
            </w:tcBorders>
            <w:shd w:val="clear" w:color="auto" w:fill="F3F3F3"/>
          </w:tcPr>
          <w:p w14:paraId="71CA9201" w14:textId="7721D646" w:rsidR="00C2112E" w:rsidRPr="00452C41" w:rsidRDefault="00C2112E" w:rsidP="001F4831">
            <w:pPr>
              <w:pStyle w:val="ListParagraph"/>
              <w:numPr>
                <w:ilvl w:val="0"/>
                <w:numId w:val="2"/>
              </w:numPr>
              <w:rPr>
                <w:sz w:val="20"/>
                <w:szCs w:val="20"/>
              </w:rPr>
            </w:pPr>
            <w:r w:rsidRPr="00452C41">
              <w:rPr>
                <w:sz w:val="20"/>
                <w:szCs w:val="20"/>
              </w:rPr>
              <w:t>Repeat cardiopulmonary exercise / one-repetition maximal test or start planned prescription from week 1 dosing</w:t>
            </w:r>
          </w:p>
        </w:tc>
      </w:tr>
    </w:tbl>
    <w:p w14:paraId="08547B1F" w14:textId="77777777" w:rsidR="006D295D" w:rsidRPr="00452C41" w:rsidRDefault="006D295D" w:rsidP="00317C34">
      <w:pPr>
        <w:rPr>
          <w:b/>
          <w:sz w:val="20"/>
          <w:szCs w:val="20"/>
        </w:rPr>
      </w:pPr>
    </w:p>
    <w:p w14:paraId="51209717" w14:textId="6FF40F8B" w:rsidR="006D295D" w:rsidRPr="00452C41" w:rsidRDefault="00104D59" w:rsidP="00317C34">
      <w:pPr>
        <w:rPr>
          <w:sz w:val="20"/>
          <w:szCs w:val="20"/>
        </w:rPr>
      </w:pPr>
      <w:proofErr w:type="spellStart"/>
      <w:r w:rsidRPr="00452C41">
        <w:rPr>
          <w:sz w:val="20"/>
          <w:szCs w:val="20"/>
          <w:vertAlign w:val="superscript"/>
        </w:rPr>
        <w:t>a</w:t>
      </w:r>
      <w:proofErr w:type="spellEnd"/>
      <w:r w:rsidRPr="00452C41">
        <w:rPr>
          <w:sz w:val="20"/>
          <w:szCs w:val="20"/>
        </w:rPr>
        <w:t xml:space="preserve"> Any grade 3 event, </w:t>
      </w:r>
      <w:r w:rsidR="00E74456" w:rsidRPr="00452C41">
        <w:rPr>
          <w:sz w:val="20"/>
          <w:szCs w:val="20"/>
        </w:rPr>
        <w:t>exercise</w:t>
      </w:r>
      <w:r w:rsidRPr="00452C41">
        <w:rPr>
          <w:sz w:val="20"/>
          <w:szCs w:val="20"/>
        </w:rPr>
        <w:t xml:space="preserve"> accident, or at the discretion of exercise physiologist monitoring the treatment session</w:t>
      </w:r>
      <w:r w:rsidR="00E74456" w:rsidRPr="00452C41">
        <w:rPr>
          <w:sz w:val="20"/>
          <w:szCs w:val="20"/>
        </w:rPr>
        <w:t>.</w:t>
      </w:r>
    </w:p>
    <w:p w14:paraId="6A5128EB" w14:textId="77777777" w:rsidR="00104D59" w:rsidRPr="00452C41" w:rsidRDefault="00104D59" w:rsidP="00104D59">
      <w:pPr>
        <w:rPr>
          <w:sz w:val="20"/>
          <w:szCs w:val="20"/>
        </w:rPr>
      </w:pPr>
      <w:r w:rsidRPr="00452C41">
        <w:rPr>
          <w:sz w:val="20"/>
          <w:szCs w:val="20"/>
          <w:vertAlign w:val="superscript"/>
        </w:rPr>
        <w:t>b</w:t>
      </w:r>
      <w:r w:rsidRPr="00452C41">
        <w:rPr>
          <w:sz w:val="20"/>
          <w:szCs w:val="20"/>
        </w:rPr>
        <w:t xml:space="preserve"> Any non-serious, health-related event including but not limited to abnormal heart rate or blood pressure response, lower extremity pain, excessive fatigue, or at the discretion of exercise physiologist monitoring the treatment session</w:t>
      </w:r>
      <w:r w:rsidR="007D1805" w:rsidRPr="00452C41">
        <w:rPr>
          <w:sz w:val="20"/>
          <w:szCs w:val="20"/>
        </w:rPr>
        <w:t xml:space="preserve">. If health-related event did not subside after a maximum of three dose modifications, session was terminated. </w:t>
      </w:r>
    </w:p>
    <w:p w14:paraId="469BAEDD" w14:textId="77777777" w:rsidR="00104D59" w:rsidRPr="00452C41" w:rsidRDefault="00104D59" w:rsidP="00317C34">
      <w:pPr>
        <w:rPr>
          <w:sz w:val="20"/>
          <w:szCs w:val="20"/>
        </w:rPr>
      </w:pPr>
    </w:p>
    <w:p w14:paraId="5D9038EA" w14:textId="77777777" w:rsidR="006D295D" w:rsidRPr="00452C41" w:rsidRDefault="006D295D" w:rsidP="00317C34">
      <w:pPr>
        <w:rPr>
          <w:b/>
          <w:sz w:val="20"/>
          <w:szCs w:val="20"/>
        </w:rPr>
      </w:pPr>
    </w:p>
    <w:p w14:paraId="00E440AE" w14:textId="77777777" w:rsidR="006D295D" w:rsidRPr="00452C41" w:rsidRDefault="006D295D" w:rsidP="00317C34">
      <w:pPr>
        <w:rPr>
          <w:b/>
          <w:sz w:val="20"/>
          <w:szCs w:val="20"/>
        </w:rPr>
      </w:pPr>
    </w:p>
    <w:p w14:paraId="4F91F441" w14:textId="77777777" w:rsidR="006D295D" w:rsidRPr="00452C41" w:rsidRDefault="006D295D" w:rsidP="00317C34">
      <w:pPr>
        <w:rPr>
          <w:b/>
          <w:sz w:val="20"/>
          <w:szCs w:val="20"/>
        </w:rPr>
      </w:pPr>
    </w:p>
    <w:p w14:paraId="61F16D6A" w14:textId="77777777" w:rsidR="0073225D" w:rsidRPr="00452C41" w:rsidRDefault="0090603E">
      <w:pPr>
        <w:rPr>
          <w:b/>
          <w:sz w:val="20"/>
          <w:szCs w:val="20"/>
        </w:rPr>
        <w:sectPr w:rsidR="0073225D" w:rsidRPr="00452C41" w:rsidSect="00437C8A">
          <w:headerReference w:type="even" r:id="rId8"/>
          <w:headerReference w:type="default" r:id="rId9"/>
          <w:footerReference w:type="default" r:id="rId10"/>
          <w:pgSz w:w="12240" w:h="15840"/>
          <w:pgMar w:top="720" w:right="720" w:bottom="720" w:left="720" w:header="720" w:footer="720" w:gutter="0"/>
          <w:cols w:space="720"/>
          <w:noEndnote/>
          <w:docGrid w:linePitch="326"/>
        </w:sectPr>
      </w:pPr>
      <w:r w:rsidRPr="00452C41">
        <w:rPr>
          <w:b/>
          <w:sz w:val="20"/>
          <w:szCs w:val="20"/>
        </w:rPr>
        <w:br w:type="page"/>
      </w:r>
    </w:p>
    <w:p w14:paraId="0199270A" w14:textId="7BB56119" w:rsidR="00114BC1" w:rsidRPr="00452C41" w:rsidRDefault="00114BC1" w:rsidP="00114BC1">
      <w:pPr>
        <w:rPr>
          <w:rFonts w:eastAsia="Calibri"/>
          <w:sz w:val="20"/>
          <w:szCs w:val="20"/>
        </w:rPr>
      </w:pPr>
      <w:bookmarkStart w:id="9" w:name="_Hlk68008627"/>
      <w:r>
        <w:rPr>
          <w:b/>
          <w:sz w:val="20"/>
          <w:szCs w:val="20"/>
        </w:rPr>
        <w:lastRenderedPageBreak/>
        <w:t>Supplementary</w:t>
      </w:r>
      <w:r w:rsidRPr="00452C41">
        <w:rPr>
          <w:b/>
          <w:sz w:val="20"/>
          <w:szCs w:val="20"/>
        </w:rPr>
        <w:t xml:space="preserve"> Table</w:t>
      </w:r>
      <w:r>
        <w:rPr>
          <w:b/>
          <w:sz w:val="20"/>
          <w:szCs w:val="20"/>
        </w:rPr>
        <w:t xml:space="preserve"> 2</w:t>
      </w:r>
      <w:r w:rsidRPr="00452C41">
        <w:rPr>
          <w:b/>
          <w:sz w:val="20"/>
          <w:szCs w:val="20"/>
        </w:rPr>
        <w:t xml:space="preserve">. </w:t>
      </w:r>
      <w:bookmarkStart w:id="10" w:name="_Hlk78291310"/>
      <w:bookmarkStart w:id="11" w:name="_Hlk72149314"/>
      <w:r w:rsidRPr="00452C41">
        <w:rPr>
          <w:rFonts w:eastAsia="Calibri"/>
          <w:sz w:val="20"/>
          <w:szCs w:val="20"/>
        </w:rPr>
        <w:t>Comparison of Exercise Treatment Modalities on Primary and Secondary End</w:t>
      </w:r>
      <w:r>
        <w:rPr>
          <w:rFonts w:eastAsia="Calibri"/>
          <w:sz w:val="20"/>
          <w:szCs w:val="20"/>
        </w:rPr>
        <w:t xml:space="preserve"> </w:t>
      </w:r>
      <w:r w:rsidRPr="00452C41">
        <w:rPr>
          <w:rFonts w:eastAsia="Calibri"/>
          <w:sz w:val="20"/>
          <w:szCs w:val="20"/>
        </w:rPr>
        <w:t>points</w:t>
      </w:r>
      <w:bookmarkEnd w:id="10"/>
    </w:p>
    <w:bookmarkEnd w:id="11"/>
    <w:p w14:paraId="6B7B5EEE" w14:textId="77777777" w:rsidR="00114BC1" w:rsidRPr="00452C41" w:rsidRDefault="00114BC1" w:rsidP="00114BC1">
      <w:pPr>
        <w:rPr>
          <w:rFonts w:eastAsia="Calibri"/>
          <w:sz w:val="20"/>
          <w:szCs w:val="20"/>
        </w:rPr>
      </w:pPr>
    </w:p>
    <w:tbl>
      <w:tblPr>
        <w:tblW w:w="0" w:type="auto"/>
        <w:tblLook w:val="04A0" w:firstRow="1" w:lastRow="0" w:firstColumn="1" w:lastColumn="0" w:noHBand="0" w:noVBand="1"/>
      </w:tblPr>
      <w:tblGrid>
        <w:gridCol w:w="3082"/>
        <w:gridCol w:w="1706"/>
        <w:gridCol w:w="834"/>
        <w:gridCol w:w="1620"/>
        <w:gridCol w:w="630"/>
        <w:gridCol w:w="1670"/>
        <w:gridCol w:w="717"/>
      </w:tblGrid>
      <w:tr w:rsidR="00114BC1" w:rsidRPr="00452C41" w14:paraId="57539A23" w14:textId="77777777" w:rsidTr="005800CD">
        <w:tc>
          <w:tcPr>
            <w:tcW w:w="3082" w:type="dxa"/>
            <w:tcBorders>
              <w:top w:val="single" w:sz="4" w:space="0" w:color="auto"/>
              <w:bottom w:val="single" w:sz="4" w:space="0" w:color="auto"/>
            </w:tcBorders>
          </w:tcPr>
          <w:p w14:paraId="76F5C86B" w14:textId="77777777" w:rsidR="00114BC1" w:rsidRPr="00452C41" w:rsidRDefault="00114BC1" w:rsidP="005800CD">
            <w:pPr>
              <w:rPr>
                <w:rFonts w:eastAsia="Calibri"/>
                <w:b/>
                <w:sz w:val="20"/>
                <w:szCs w:val="20"/>
              </w:rPr>
            </w:pPr>
          </w:p>
        </w:tc>
        <w:tc>
          <w:tcPr>
            <w:tcW w:w="1706" w:type="dxa"/>
            <w:tcBorders>
              <w:top w:val="single" w:sz="4" w:space="0" w:color="auto"/>
              <w:bottom w:val="single" w:sz="4" w:space="0" w:color="auto"/>
            </w:tcBorders>
          </w:tcPr>
          <w:p w14:paraId="4E16B545" w14:textId="77777777" w:rsidR="00114BC1" w:rsidRPr="00452C41" w:rsidRDefault="00114BC1" w:rsidP="005800CD">
            <w:pPr>
              <w:jc w:val="center"/>
              <w:rPr>
                <w:rFonts w:eastAsia="Calibri"/>
                <w:b/>
                <w:sz w:val="20"/>
                <w:szCs w:val="20"/>
              </w:rPr>
            </w:pPr>
            <w:r w:rsidRPr="00452C41">
              <w:rPr>
                <w:rFonts w:eastAsia="Calibri"/>
                <w:b/>
                <w:sz w:val="20"/>
                <w:szCs w:val="20"/>
              </w:rPr>
              <w:t>Difference between Arms</w:t>
            </w:r>
          </w:p>
          <w:p w14:paraId="5834F068" w14:textId="77777777" w:rsidR="00114BC1" w:rsidRPr="00452C41" w:rsidRDefault="00114BC1" w:rsidP="005800CD">
            <w:pPr>
              <w:jc w:val="center"/>
              <w:rPr>
                <w:rFonts w:eastAsia="Calibri"/>
                <w:b/>
                <w:sz w:val="20"/>
                <w:szCs w:val="20"/>
              </w:rPr>
            </w:pPr>
            <w:r w:rsidRPr="00452C41">
              <w:rPr>
                <w:rFonts w:eastAsia="Calibri"/>
                <w:b/>
                <w:sz w:val="20"/>
                <w:szCs w:val="20"/>
              </w:rPr>
              <w:t>(AT vs. CT)</w:t>
            </w:r>
          </w:p>
        </w:tc>
        <w:tc>
          <w:tcPr>
            <w:tcW w:w="834" w:type="dxa"/>
            <w:tcBorders>
              <w:top w:val="single" w:sz="4" w:space="0" w:color="auto"/>
              <w:bottom w:val="single" w:sz="4" w:space="0" w:color="auto"/>
            </w:tcBorders>
          </w:tcPr>
          <w:p w14:paraId="01F7A58B" w14:textId="77777777" w:rsidR="00114BC1" w:rsidRPr="00452C41" w:rsidRDefault="00114BC1" w:rsidP="005800CD">
            <w:pPr>
              <w:jc w:val="center"/>
              <w:rPr>
                <w:rFonts w:eastAsia="Calibri"/>
                <w:b/>
                <w:sz w:val="20"/>
                <w:szCs w:val="20"/>
              </w:rPr>
            </w:pPr>
            <w:r w:rsidRPr="00452C41">
              <w:rPr>
                <w:rFonts w:eastAsia="Calibri"/>
                <w:b/>
                <w:sz w:val="20"/>
                <w:szCs w:val="20"/>
              </w:rPr>
              <w:t>P§</w:t>
            </w:r>
          </w:p>
        </w:tc>
        <w:tc>
          <w:tcPr>
            <w:tcW w:w="1620" w:type="dxa"/>
            <w:tcBorders>
              <w:top w:val="single" w:sz="4" w:space="0" w:color="auto"/>
              <w:bottom w:val="single" w:sz="4" w:space="0" w:color="auto"/>
            </w:tcBorders>
          </w:tcPr>
          <w:p w14:paraId="14967E38" w14:textId="77777777" w:rsidR="00114BC1" w:rsidRPr="00452C41" w:rsidRDefault="00114BC1" w:rsidP="005800CD">
            <w:pPr>
              <w:jc w:val="center"/>
              <w:rPr>
                <w:rFonts w:eastAsia="Calibri"/>
                <w:b/>
                <w:sz w:val="20"/>
                <w:szCs w:val="20"/>
              </w:rPr>
            </w:pPr>
            <w:r w:rsidRPr="00452C41">
              <w:rPr>
                <w:rFonts w:eastAsia="Calibri"/>
                <w:b/>
                <w:sz w:val="20"/>
                <w:szCs w:val="20"/>
              </w:rPr>
              <w:t>Difference between Arms</w:t>
            </w:r>
          </w:p>
          <w:p w14:paraId="6C74F113" w14:textId="77777777" w:rsidR="00114BC1" w:rsidRPr="00452C41" w:rsidRDefault="00114BC1" w:rsidP="005800CD">
            <w:pPr>
              <w:jc w:val="center"/>
              <w:rPr>
                <w:rFonts w:eastAsia="Calibri"/>
                <w:sz w:val="20"/>
                <w:szCs w:val="20"/>
              </w:rPr>
            </w:pPr>
            <w:r w:rsidRPr="00452C41">
              <w:rPr>
                <w:rFonts w:eastAsia="Calibri"/>
                <w:b/>
                <w:sz w:val="20"/>
                <w:szCs w:val="20"/>
              </w:rPr>
              <w:t>(RT vs. CT)</w:t>
            </w:r>
          </w:p>
        </w:tc>
        <w:tc>
          <w:tcPr>
            <w:tcW w:w="630" w:type="dxa"/>
            <w:tcBorders>
              <w:top w:val="single" w:sz="4" w:space="0" w:color="auto"/>
              <w:bottom w:val="single" w:sz="4" w:space="0" w:color="auto"/>
            </w:tcBorders>
          </w:tcPr>
          <w:p w14:paraId="5D5168BA" w14:textId="77777777" w:rsidR="00114BC1" w:rsidRPr="00452C41" w:rsidRDefault="00114BC1" w:rsidP="005800CD">
            <w:pPr>
              <w:jc w:val="center"/>
              <w:rPr>
                <w:rFonts w:eastAsia="Calibri"/>
                <w:b/>
                <w:sz w:val="20"/>
                <w:szCs w:val="20"/>
              </w:rPr>
            </w:pPr>
            <w:r w:rsidRPr="00452C41">
              <w:rPr>
                <w:rFonts w:eastAsia="Calibri"/>
                <w:b/>
                <w:sz w:val="20"/>
                <w:szCs w:val="20"/>
              </w:rPr>
              <w:t>P§</w:t>
            </w:r>
          </w:p>
        </w:tc>
        <w:tc>
          <w:tcPr>
            <w:tcW w:w="1670" w:type="dxa"/>
            <w:tcBorders>
              <w:top w:val="single" w:sz="4" w:space="0" w:color="auto"/>
              <w:bottom w:val="single" w:sz="4" w:space="0" w:color="auto"/>
            </w:tcBorders>
          </w:tcPr>
          <w:p w14:paraId="172B871B" w14:textId="77777777" w:rsidR="00114BC1" w:rsidRPr="00452C41" w:rsidRDefault="00114BC1" w:rsidP="005800CD">
            <w:pPr>
              <w:jc w:val="center"/>
              <w:rPr>
                <w:rFonts w:eastAsia="Calibri"/>
                <w:b/>
                <w:sz w:val="20"/>
                <w:szCs w:val="20"/>
              </w:rPr>
            </w:pPr>
            <w:r w:rsidRPr="00452C41">
              <w:rPr>
                <w:rFonts w:eastAsia="Calibri"/>
                <w:b/>
                <w:sz w:val="20"/>
                <w:szCs w:val="20"/>
              </w:rPr>
              <w:t>Difference between Arms</w:t>
            </w:r>
          </w:p>
          <w:p w14:paraId="7BEAE0FC" w14:textId="77777777" w:rsidR="00114BC1" w:rsidRPr="00452C41" w:rsidRDefault="00114BC1" w:rsidP="005800CD">
            <w:pPr>
              <w:jc w:val="center"/>
              <w:rPr>
                <w:rFonts w:eastAsia="Calibri"/>
                <w:b/>
                <w:sz w:val="20"/>
                <w:szCs w:val="20"/>
              </w:rPr>
            </w:pPr>
            <w:r w:rsidRPr="00452C41">
              <w:rPr>
                <w:rFonts w:eastAsia="Calibri"/>
                <w:b/>
                <w:sz w:val="20"/>
                <w:szCs w:val="20"/>
              </w:rPr>
              <w:t>(AT vs. RT)</w:t>
            </w:r>
          </w:p>
        </w:tc>
        <w:tc>
          <w:tcPr>
            <w:tcW w:w="717" w:type="dxa"/>
            <w:tcBorders>
              <w:top w:val="single" w:sz="4" w:space="0" w:color="auto"/>
              <w:bottom w:val="single" w:sz="4" w:space="0" w:color="auto"/>
            </w:tcBorders>
          </w:tcPr>
          <w:p w14:paraId="7CC61D01" w14:textId="77777777" w:rsidR="00114BC1" w:rsidRPr="00452C41" w:rsidRDefault="00114BC1" w:rsidP="005800CD">
            <w:pPr>
              <w:jc w:val="center"/>
              <w:rPr>
                <w:rFonts w:eastAsia="Calibri"/>
                <w:b/>
                <w:sz w:val="20"/>
                <w:szCs w:val="20"/>
              </w:rPr>
            </w:pPr>
            <w:r w:rsidRPr="00452C41">
              <w:rPr>
                <w:rFonts w:eastAsia="Calibri"/>
                <w:b/>
                <w:sz w:val="20"/>
                <w:szCs w:val="20"/>
              </w:rPr>
              <w:t>P§</w:t>
            </w:r>
          </w:p>
        </w:tc>
      </w:tr>
      <w:tr w:rsidR="00114BC1" w:rsidRPr="00452C41" w14:paraId="217E795D" w14:textId="77777777" w:rsidTr="005800CD">
        <w:tc>
          <w:tcPr>
            <w:tcW w:w="3082" w:type="dxa"/>
            <w:tcBorders>
              <w:top w:val="single" w:sz="4" w:space="0" w:color="auto"/>
            </w:tcBorders>
            <w:shd w:val="clear" w:color="auto" w:fill="F3F3F3"/>
          </w:tcPr>
          <w:p w14:paraId="3D4D0469" w14:textId="77777777" w:rsidR="00114BC1" w:rsidRPr="00452C41" w:rsidRDefault="00114BC1" w:rsidP="005800CD">
            <w:pPr>
              <w:rPr>
                <w:rFonts w:eastAsia="Calibri"/>
                <w:b/>
                <w:sz w:val="20"/>
                <w:szCs w:val="20"/>
              </w:rPr>
            </w:pPr>
            <w:r w:rsidRPr="00452C41">
              <w:rPr>
                <w:rFonts w:eastAsia="Calibri"/>
                <w:b/>
                <w:sz w:val="20"/>
                <w:szCs w:val="20"/>
              </w:rPr>
              <w:t>Variable</w:t>
            </w:r>
          </w:p>
        </w:tc>
        <w:tc>
          <w:tcPr>
            <w:tcW w:w="1706" w:type="dxa"/>
            <w:tcBorders>
              <w:top w:val="single" w:sz="4" w:space="0" w:color="auto"/>
            </w:tcBorders>
            <w:shd w:val="clear" w:color="auto" w:fill="F3F3F3"/>
          </w:tcPr>
          <w:p w14:paraId="4EAF05DD" w14:textId="77777777" w:rsidR="00114BC1" w:rsidRPr="00452C41" w:rsidRDefault="00114BC1" w:rsidP="005800CD">
            <w:pPr>
              <w:rPr>
                <w:rFonts w:eastAsia="Calibri"/>
                <w:sz w:val="20"/>
                <w:szCs w:val="20"/>
              </w:rPr>
            </w:pPr>
          </w:p>
        </w:tc>
        <w:tc>
          <w:tcPr>
            <w:tcW w:w="834" w:type="dxa"/>
            <w:tcBorders>
              <w:top w:val="single" w:sz="4" w:space="0" w:color="auto"/>
            </w:tcBorders>
            <w:shd w:val="clear" w:color="auto" w:fill="F3F3F3"/>
          </w:tcPr>
          <w:p w14:paraId="2B80C155" w14:textId="77777777" w:rsidR="00114BC1" w:rsidRPr="00452C41" w:rsidRDefault="00114BC1" w:rsidP="005800CD">
            <w:pPr>
              <w:rPr>
                <w:rFonts w:eastAsia="Calibri"/>
                <w:sz w:val="20"/>
                <w:szCs w:val="20"/>
              </w:rPr>
            </w:pPr>
          </w:p>
        </w:tc>
        <w:tc>
          <w:tcPr>
            <w:tcW w:w="1620" w:type="dxa"/>
            <w:tcBorders>
              <w:top w:val="single" w:sz="4" w:space="0" w:color="auto"/>
            </w:tcBorders>
            <w:shd w:val="clear" w:color="auto" w:fill="F3F3F3"/>
          </w:tcPr>
          <w:p w14:paraId="0585AFC0" w14:textId="77777777" w:rsidR="00114BC1" w:rsidRPr="00452C41" w:rsidRDefault="00114BC1" w:rsidP="005800CD">
            <w:pPr>
              <w:rPr>
                <w:rFonts w:eastAsia="Calibri"/>
                <w:sz w:val="20"/>
                <w:szCs w:val="20"/>
              </w:rPr>
            </w:pPr>
          </w:p>
        </w:tc>
        <w:tc>
          <w:tcPr>
            <w:tcW w:w="630" w:type="dxa"/>
            <w:tcBorders>
              <w:top w:val="single" w:sz="4" w:space="0" w:color="auto"/>
            </w:tcBorders>
            <w:shd w:val="clear" w:color="auto" w:fill="F3F3F3"/>
          </w:tcPr>
          <w:p w14:paraId="74B4125E" w14:textId="77777777" w:rsidR="00114BC1" w:rsidRPr="00452C41" w:rsidRDefault="00114BC1" w:rsidP="005800CD">
            <w:pPr>
              <w:rPr>
                <w:rFonts w:eastAsia="Calibri"/>
                <w:sz w:val="20"/>
                <w:szCs w:val="20"/>
              </w:rPr>
            </w:pPr>
          </w:p>
        </w:tc>
        <w:tc>
          <w:tcPr>
            <w:tcW w:w="1670" w:type="dxa"/>
            <w:tcBorders>
              <w:top w:val="single" w:sz="4" w:space="0" w:color="auto"/>
            </w:tcBorders>
            <w:shd w:val="clear" w:color="auto" w:fill="F3F3F3"/>
          </w:tcPr>
          <w:p w14:paraId="3B319423" w14:textId="77777777" w:rsidR="00114BC1" w:rsidRPr="00452C41" w:rsidRDefault="00114BC1" w:rsidP="005800CD">
            <w:pPr>
              <w:rPr>
                <w:rFonts w:eastAsia="Calibri"/>
                <w:sz w:val="20"/>
                <w:szCs w:val="20"/>
              </w:rPr>
            </w:pPr>
          </w:p>
        </w:tc>
        <w:tc>
          <w:tcPr>
            <w:tcW w:w="717" w:type="dxa"/>
            <w:tcBorders>
              <w:top w:val="single" w:sz="4" w:space="0" w:color="auto"/>
            </w:tcBorders>
            <w:shd w:val="clear" w:color="auto" w:fill="F3F3F3"/>
          </w:tcPr>
          <w:p w14:paraId="780CE372" w14:textId="77777777" w:rsidR="00114BC1" w:rsidRPr="00452C41" w:rsidRDefault="00114BC1" w:rsidP="005800CD">
            <w:pPr>
              <w:rPr>
                <w:rFonts w:eastAsia="Calibri"/>
                <w:sz w:val="20"/>
                <w:szCs w:val="20"/>
              </w:rPr>
            </w:pPr>
          </w:p>
        </w:tc>
      </w:tr>
      <w:tr w:rsidR="00114BC1" w:rsidRPr="00452C41" w14:paraId="5957957C" w14:textId="77777777" w:rsidTr="005800CD">
        <w:tc>
          <w:tcPr>
            <w:tcW w:w="3082" w:type="dxa"/>
            <w:shd w:val="clear" w:color="auto" w:fill="auto"/>
          </w:tcPr>
          <w:p w14:paraId="0C029C76" w14:textId="77777777" w:rsidR="00114BC1" w:rsidRPr="00452C41" w:rsidRDefault="00114BC1" w:rsidP="005800CD">
            <w:pPr>
              <w:rPr>
                <w:rFonts w:eastAsia="Calibri"/>
                <w:b/>
                <w:sz w:val="20"/>
                <w:szCs w:val="20"/>
              </w:rPr>
            </w:pPr>
            <w:r w:rsidRPr="00452C41">
              <w:rPr>
                <w:b/>
                <w:sz w:val="20"/>
                <w:szCs w:val="20"/>
              </w:rPr>
              <w:t>Primary End</w:t>
            </w:r>
            <w:r>
              <w:rPr>
                <w:b/>
                <w:sz w:val="20"/>
                <w:szCs w:val="20"/>
              </w:rPr>
              <w:t xml:space="preserve"> </w:t>
            </w:r>
            <w:r w:rsidRPr="00452C41">
              <w:rPr>
                <w:b/>
                <w:sz w:val="20"/>
                <w:szCs w:val="20"/>
              </w:rPr>
              <w:t xml:space="preserve">point </w:t>
            </w:r>
          </w:p>
        </w:tc>
        <w:tc>
          <w:tcPr>
            <w:tcW w:w="1706" w:type="dxa"/>
            <w:shd w:val="clear" w:color="auto" w:fill="auto"/>
          </w:tcPr>
          <w:p w14:paraId="5B390CC5" w14:textId="77777777" w:rsidR="00114BC1" w:rsidRPr="00452C41" w:rsidRDefault="00114BC1" w:rsidP="005800CD">
            <w:pPr>
              <w:jc w:val="center"/>
              <w:rPr>
                <w:rFonts w:eastAsia="Calibri"/>
                <w:sz w:val="20"/>
                <w:szCs w:val="20"/>
              </w:rPr>
            </w:pPr>
          </w:p>
        </w:tc>
        <w:tc>
          <w:tcPr>
            <w:tcW w:w="834" w:type="dxa"/>
          </w:tcPr>
          <w:p w14:paraId="36ABBA5B" w14:textId="77777777" w:rsidR="00114BC1" w:rsidRPr="00452C41" w:rsidRDefault="00114BC1" w:rsidP="005800CD">
            <w:pPr>
              <w:jc w:val="center"/>
              <w:rPr>
                <w:rFonts w:eastAsia="Calibri"/>
                <w:sz w:val="20"/>
                <w:szCs w:val="20"/>
              </w:rPr>
            </w:pPr>
          </w:p>
        </w:tc>
        <w:tc>
          <w:tcPr>
            <w:tcW w:w="1620" w:type="dxa"/>
            <w:shd w:val="clear" w:color="auto" w:fill="auto"/>
          </w:tcPr>
          <w:p w14:paraId="75191843" w14:textId="77777777" w:rsidR="00114BC1" w:rsidRPr="00452C41" w:rsidRDefault="00114BC1" w:rsidP="005800CD">
            <w:pPr>
              <w:jc w:val="center"/>
              <w:rPr>
                <w:rFonts w:eastAsia="Calibri"/>
                <w:sz w:val="20"/>
                <w:szCs w:val="20"/>
              </w:rPr>
            </w:pPr>
          </w:p>
        </w:tc>
        <w:tc>
          <w:tcPr>
            <w:tcW w:w="630" w:type="dxa"/>
          </w:tcPr>
          <w:p w14:paraId="5EC4AF0F" w14:textId="77777777" w:rsidR="00114BC1" w:rsidRPr="00452C41" w:rsidRDefault="00114BC1" w:rsidP="005800CD">
            <w:pPr>
              <w:jc w:val="center"/>
              <w:rPr>
                <w:rFonts w:eastAsia="Calibri"/>
                <w:sz w:val="20"/>
                <w:szCs w:val="20"/>
              </w:rPr>
            </w:pPr>
          </w:p>
        </w:tc>
        <w:tc>
          <w:tcPr>
            <w:tcW w:w="1670" w:type="dxa"/>
          </w:tcPr>
          <w:p w14:paraId="3A7CC1DE" w14:textId="77777777" w:rsidR="00114BC1" w:rsidRPr="00452C41" w:rsidRDefault="00114BC1" w:rsidP="005800CD">
            <w:pPr>
              <w:jc w:val="center"/>
              <w:rPr>
                <w:rFonts w:eastAsia="Calibri"/>
                <w:sz w:val="20"/>
                <w:szCs w:val="20"/>
              </w:rPr>
            </w:pPr>
          </w:p>
        </w:tc>
        <w:tc>
          <w:tcPr>
            <w:tcW w:w="717" w:type="dxa"/>
          </w:tcPr>
          <w:p w14:paraId="5F263F4F" w14:textId="77777777" w:rsidR="00114BC1" w:rsidRPr="00452C41" w:rsidRDefault="00114BC1" w:rsidP="005800CD">
            <w:pPr>
              <w:jc w:val="center"/>
              <w:rPr>
                <w:rFonts w:eastAsia="Calibri"/>
                <w:sz w:val="20"/>
                <w:szCs w:val="20"/>
              </w:rPr>
            </w:pPr>
          </w:p>
        </w:tc>
      </w:tr>
      <w:tr w:rsidR="00114BC1" w:rsidRPr="00452C41" w14:paraId="7D0454F4" w14:textId="77777777" w:rsidTr="005800CD">
        <w:tc>
          <w:tcPr>
            <w:tcW w:w="3082" w:type="dxa"/>
            <w:shd w:val="clear" w:color="auto" w:fill="F3F3F3"/>
          </w:tcPr>
          <w:p w14:paraId="100EA372" w14:textId="77777777" w:rsidR="00114BC1" w:rsidRPr="00452C41" w:rsidRDefault="00114BC1" w:rsidP="005800CD">
            <w:pPr>
              <w:ind w:left="144"/>
              <w:rPr>
                <w:rFonts w:eastAsia="Calibri"/>
                <w:sz w:val="20"/>
                <w:szCs w:val="20"/>
              </w:rPr>
            </w:pPr>
            <w:r w:rsidRPr="00452C41">
              <w:rPr>
                <w:sz w:val="20"/>
                <w:szCs w:val="20"/>
              </w:rPr>
              <w:t>VO</w:t>
            </w:r>
            <w:r w:rsidRPr="00452C41">
              <w:rPr>
                <w:sz w:val="20"/>
                <w:szCs w:val="20"/>
                <w:vertAlign w:val="subscript"/>
              </w:rPr>
              <w:t>2</w:t>
            </w:r>
            <w:r w:rsidRPr="00452C41">
              <w:rPr>
                <w:sz w:val="20"/>
                <w:szCs w:val="20"/>
              </w:rPr>
              <w:t>peak, ml O</w:t>
            </w:r>
            <w:r w:rsidRPr="00452C41">
              <w:rPr>
                <w:sz w:val="20"/>
                <w:szCs w:val="20"/>
                <w:vertAlign w:val="subscript"/>
              </w:rPr>
              <w:t>2</w:t>
            </w:r>
            <w:r w:rsidRPr="00452C41">
              <w:rPr>
                <w:sz w:val="20"/>
                <w:szCs w:val="20"/>
                <w:vertAlign w:val="superscript"/>
              </w:rPr>
              <w:t>.</w:t>
            </w:r>
            <w:r w:rsidRPr="00452C41">
              <w:rPr>
                <w:sz w:val="20"/>
                <w:szCs w:val="20"/>
              </w:rPr>
              <w:t>kg</w:t>
            </w:r>
            <w:r w:rsidRPr="00452C41">
              <w:rPr>
                <w:sz w:val="20"/>
                <w:szCs w:val="20"/>
                <w:vertAlign w:val="superscript"/>
              </w:rPr>
              <w:t>-1.</w:t>
            </w:r>
            <w:r w:rsidRPr="00452C41">
              <w:rPr>
                <w:sz w:val="20"/>
                <w:szCs w:val="20"/>
              </w:rPr>
              <w:t>min</w:t>
            </w:r>
            <w:r w:rsidRPr="00452C41">
              <w:rPr>
                <w:sz w:val="20"/>
                <w:szCs w:val="20"/>
                <w:vertAlign w:val="superscript"/>
              </w:rPr>
              <w:t>-1</w:t>
            </w:r>
          </w:p>
        </w:tc>
        <w:tc>
          <w:tcPr>
            <w:tcW w:w="1706" w:type="dxa"/>
            <w:shd w:val="clear" w:color="auto" w:fill="F3F3F3"/>
          </w:tcPr>
          <w:p w14:paraId="1CA10763" w14:textId="77777777" w:rsidR="00114BC1" w:rsidRPr="00452C41" w:rsidRDefault="00114BC1" w:rsidP="005800CD">
            <w:pPr>
              <w:jc w:val="center"/>
              <w:rPr>
                <w:rFonts w:eastAsia="Calibri"/>
                <w:sz w:val="20"/>
                <w:szCs w:val="20"/>
              </w:rPr>
            </w:pPr>
            <w:r w:rsidRPr="00452C41">
              <w:rPr>
                <w:color w:val="000000"/>
                <w:sz w:val="20"/>
                <w:szCs w:val="20"/>
              </w:rPr>
              <w:t>–0.1 (2.2)</w:t>
            </w:r>
          </w:p>
        </w:tc>
        <w:tc>
          <w:tcPr>
            <w:tcW w:w="834" w:type="dxa"/>
            <w:shd w:val="clear" w:color="auto" w:fill="F3F3F3"/>
          </w:tcPr>
          <w:p w14:paraId="68A51291" w14:textId="77777777" w:rsidR="00114BC1" w:rsidRPr="00452C41" w:rsidRDefault="00114BC1" w:rsidP="005800CD">
            <w:pPr>
              <w:jc w:val="center"/>
              <w:rPr>
                <w:color w:val="000000"/>
                <w:sz w:val="20"/>
                <w:szCs w:val="20"/>
              </w:rPr>
            </w:pPr>
            <w:r w:rsidRPr="00452C41">
              <w:rPr>
                <w:color w:val="000000"/>
                <w:sz w:val="20"/>
                <w:szCs w:val="20"/>
              </w:rPr>
              <w:t>0.96</w:t>
            </w:r>
          </w:p>
        </w:tc>
        <w:tc>
          <w:tcPr>
            <w:tcW w:w="1620" w:type="dxa"/>
            <w:shd w:val="clear" w:color="auto" w:fill="F3F3F3"/>
          </w:tcPr>
          <w:p w14:paraId="1FC627F5" w14:textId="77777777" w:rsidR="00114BC1" w:rsidRPr="00452C41" w:rsidRDefault="00114BC1" w:rsidP="005800CD">
            <w:pPr>
              <w:jc w:val="center"/>
              <w:rPr>
                <w:rFonts w:eastAsia="Calibri"/>
                <w:sz w:val="20"/>
                <w:szCs w:val="20"/>
              </w:rPr>
            </w:pPr>
            <w:r w:rsidRPr="00452C41">
              <w:rPr>
                <w:color w:val="000000"/>
                <w:sz w:val="20"/>
                <w:szCs w:val="20"/>
              </w:rPr>
              <w:t>–1.4 (2)</w:t>
            </w:r>
          </w:p>
        </w:tc>
        <w:tc>
          <w:tcPr>
            <w:tcW w:w="630" w:type="dxa"/>
            <w:shd w:val="clear" w:color="auto" w:fill="F3F3F3"/>
          </w:tcPr>
          <w:p w14:paraId="0FF7AF55" w14:textId="77777777" w:rsidR="00114BC1" w:rsidRPr="00452C41" w:rsidRDefault="00114BC1" w:rsidP="005800CD">
            <w:pPr>
              <w:jc w:val="center"/>
              <w:rPr>
                <w:color w:val="000000"/>
                <w:sz w:val="20"/>
                <w:szCs w:val="20"/>
              </w:rPr>
            </w:pPr>
            <w:r w:rsidRPr="00452C41">
              <w:rPr>
                <w:color w:val="000000"/>
                <w:sz w:val="20"/>
                <w:szCs w:val="20"/>
              </w:rPr>
              <w:t>0.04</w:t>
            </w:r>
          </w:p>
        </w:tc>
        <w:tc>
          <w:tcPr>
            <w:tcW w:w="1670" w:type="dxa"/>
            <w:shd w:val="clear" w:color="auto" w:fill="F3F3F3"/>
          </w:tcPr>
          <w:p w14:paraId="2C0E14BD" w14:textId="77777777" w:rsidR="00114BC1" w:rsidRPr="00452C41" w:rsidRDefault="00114BC1" w:rsidP="005800CD">
            <w:pPr>
              <w:jc w:val="center"/>
              <w:rPr>
                <w:color w:val="000000"/>
                <w:sz w:val="20"/>
                <w:szCs w:val="20"/>
              </w:rPr>
            </w:pPr>
            <w:r w:rsidRPr="00452C41">
              <w:rPr>
                <w:color w:val="000000"/>
                <w:sz w:val="20"/>
                <w:szCs w:val="20"/>
              </w:rPr>
              <w:t>1.3 (2)</w:t>
            </w:r>
          </w:p>
        </w:tc>
        <w:tc>
          <w:tcPr>
            <w:tcW w:w="717" w:type="dxa"/>
            <w:shd w:val="clear" w:color="auto" w:fill="F3F3F3"/>
          </w:tcPr>
          <w:p w14:paraId="333E6DBA" w14:textId="77777777" w:rsidR="00114BC1" w:rsidRPr="00452C41" w:rsidRDefault="00114BC1" w:rsidP="005800CD">
            <w:pPr>
              <w:jc w:val="center"/>
              <w:rPr>
                <w:color w:val="000000"/>
                <w:sz w:val="20"/>
                <w:szCs w:val="20"/>
              </w:rPr>
            </w:pPr>
            <w:r w:rsidRPr="00452C41">
              <w:rPr>
                <w:color w:val="000000"/>
                <w:sz w:val="20"/>
                <w:szCs w:val="20"/>
              </w:rPr>
              <w:t>0.03</w:t>
            </w:r>
          </w:p>
        </w:tc>
      </w:tr>
      <w:tr w:rsidR="00114BC1" w:rsidRPr="00452C41" w14:paraId="506F05CA" w14:textId="77777777" w:rsidTr="005800CD">
        <w:tc>
          <w:tcPr>
            <w:tcW w:w="3082" w:type="dxa"/>
            <w:shd w:val="clear" w:color="auto" w:fill="auto"/>
          </w:tcPr>
          <w:p w14:paraId="2A3C136C" w14:textId="77777777" w:rsidR="00114BC1" w:rsidRPr="00452C41" w:rsidRDefault="00114BC1" w:rsidP="005800CD">
            <w:pPr>
              <w:rPr>
                <w:rFonts w:eastAsia="Calibri"/>
                <w:b/>
                <w:sz w:val="20"/>
                <w:szCs w:val="20"/>
              </w:rPr>
            </w:pPr>
            <w:r w:rsidRPr="00452C41">
              <w:rPr>
                <w:b/>
                <w:sz w:val="20"/>
                <w:szCs w:val="20"/>
              </w:rPr>
              <w:t>Secondary End</w:t>
            </w:r>
            <w:r>
              <w:rPr>
                <w:b/>
                <w:sz w:val="20"/>
                <w:szCs w:val="20"/>
              </w:rPr>
              <w:t xml:space="preserve"> </w:t>
            </w:r>
            <w:r w:rsidRPr="00452C41">
              <w:rPr>
                <w:b/>
                <w:sz w:val="20"/>
                <w:szCs w:val="20"/>
              </w:rPr>
              <w:t>points</w:t>
            </w:r>
          </w:p>
        </w:tc>
        <w:tc>
          <w:tcPr>
            <w:tcW w:w="1706" w:type="dxa"/>
            <w:shd w:val="clear" w:color="auto" w:fill="auto"/>
          </w:tcPr>
          <w:p w14:paraId="5DC1D699" w14:textId="77777777" w:rsidR="00114BC1" w:rsidRPr="00452C41" w:rsidRDefault="00114BC1" w:rsidP="005800CD">
            <w:pPr>
              <w:jc w:val="center"/>
              <w:rPr>
                <w:rFonts w:eastAsia="Calibri"/>
                <w:sz w:val="20"/>
                <w:szCs w:val="20"/>
              </w:rPr>
            </w:pPr>
          </w:p>
        </w:tc>
        <w:tc>
          <w:tcPr>
            <w:tcW w:w="834" w:type="dxa"/>
          </w:tcPr>
          <w:p w14:paraId="7052868B" w14:textId="77777777" w:rsidR="00114BC1" w:rsidRPr="00452C41" w:rsidRDefault="00114BC1" w:rsidP="005800CD">
            <w:pPr>
              <w:jc w:val="center"/>
              <w:rPr>
                <w:rFonts w:eastAsia="Calibri"/>
                <w:sz w:val="20"/>
                <w:szCs w:val="20"/>
              </w:rPr>
            </w:pPr>
          </w:p>
        </w:tc>
        <w:tc>
          <w:tcPr>
            <w:tcW w:w="1620" w:type="dxa"/>
            <w:shd w:val="clear" w:color="auto" w:fill="auto"/>
          </w:tcPr>
          <w:p w14:paraId="29006FF8" w14:textId="77777777" w:rsidR="00114BC1" w:rsidRPr="00452C41" w:rsidRDefault="00114BC1" w:rsidP="005800CD">
            <w:pPr>
              <w:jc w:val="center"/>
              <w:rPr>
                <w:rFonts w:eastAsia="Calibri"/>
                <w:sz w:val="20"/>
                <w:szCs w:val="20"/>
              </w:rPr>
            </w:pPr>
          </w:p>
        </w:tc>
        <w:tc>
          <w:tcPr>
            <w:tcW w:w="630" w:type="dxa"/>
          </w:tcPr>
          <w:p w14:paraId="10D43F1C" w14:textId="77777777" w:rsidR="00114BC1" w:rsidRPr="00452C41" w:rsidRDefault="00114BC1" w:rsidP="005800CD">
            <w:pPr>
              <w:jc w:val="center"/>
              <w:rPr>
                <w:rFonts w:eastAsia="Calibri"/>
                <w:sz w:val="20"/>
                <w:szCs w:val="20"/>
              </w:rPr>
            </w:pPr>
          </w:p>
        </w:tc>
        <w:tc>
          <w:tcPr>
            <w:tcW w:w="1670" w:type="dxa"/>
          </w:tcPr>
          <w:p w14:paraId="3985C99F" w14:textId="77777777" w:rsidR="00114BC1" w:rsidRPr="00452C41" w:rsidRDefault="00114BC1" w:rsidP="005800CD">
            <w:pPr>
              <w:jc w:val="center"/>
              <w:rPr>
                <w:rFonts w:eastAsia="Calibri"/>
                <w:sz w:val="20"/>
                <w:szCs w:val="20"/>
              </w:rPr>
            </w:pPr>
          </w:p>
        </w:tc>
        <w:tc>
          <w:tcPr>
            <w:tcW w:w="717" w:type="dxa"/>
          </w:tcPr>
          <w:p w14:paraId="5C94B84B" w14:textId="77777777" w:rsidR="00114BC1" w:rsidRPr="00452C41" w:rsidRDefault="00114BC1" w:rsidP="005800CD">
            <w:pPr>
              <w:jc w:val="center"/>
              <w:rPr>
                <w:rFonts w:eastAsia="Calibri"/>
                <w:sz w:val="20"/>
                <w:szCs w:val="20"/>
              </w:rPr>
            </w:pPr>
          </w:p>
        </w:tc>
      </w:tr>
      <w:tr w:rsidR="00114BC1" w:rsidRPr="00452C41" w14:paraId="3C23AE01" w14:textId="77777777" w:rsidTr="005800CD">
        <w:tc>
          <w:tcPr>
            <w:tcW w:w="3082" w:type="dxa"/>
            <w:shd w:val="clear" w:color="auto" w:fill="F3F3F3"/>
          </w:tcPr>
          <w:p w14:paraId="4E3DE97A" w14:textId="77777777" w:rsidR="00114BC1" w:rsidRPr="00452C41" w:rsidRDefault="00114BC1" w:rsidP="005800CD">
            <w:pPr>
              <w:rPr>
                <w:rFonts w:eastAsia="Calibri"/>
                <w:b/>
                <w:sz w:val="20"/>
                <w:szCs w:val="20"/>
              </w:rPr>
            </w:pPr>
            <w:r w:rsidRPr="00452C41">
              <w:rPr>
                <w:b/>
                <w:sz w:val="20"/>
                <w:szCs w:val="20"/>
              </w:rPr>
              <w:t>Peak Cardiopulmonary Function</w:t>
            </w:r>
          </w:p>
        </w:tc>
        <w:tc>
          <w:tcPr>
            <w:tcW w:w="1706" w:type="dxa"/>
            <w:shd w:val="clear" w:color="auto" w:fill="F3F3F3"/>
          </w:tcPr>
          <w:p w14:paraId="3832D805" w14:textId="77777777" w:rsidR="00114BC1" w:rsidRPr="00452C41" w:rsidRDefault="00114BC1" w:rsidP="005800CD">
            <w:pPr>
              <w:jc w:val="center"/>
              <w:rPr>
                <w:rFonts w:eastAsia="Calibri"/>
                <w:sz w:val="20"/>
                <w:szCs w:val="20"/>
              </w:rPr>
            </w:pPr>
          </w:p>
        </w:tc>
        <w:tc>
          <w:tcPr>
            <w:tcW w:w="834" w:type="dxa"/>
            <w:shd w:val="clear" w:color="auto" w:fill="F3F3F3"/>
          </w:tcPr>
          <w:p w14:paraId="11960479" w14:textId="77777777" w:rsidR="00114BC1" w:rsidRPr="00452C41" w:rsidRDefault="00114BC1" w:rsidP="005800CD">
            <w:pPr>
              <w:jc w:val="center"/>
              <w:rPr>
                <w:rFonts w:eastAsia="Calibri"/>
                <w:sz w:val="20"/>
                <w:szCs w:val="20"/>
              </w:rPr>
            </w:pPr>
          </w:p>
        </w:tc>
        <w:tc>
          <w:tcPr>
            <w:tcW w:w="1620" w:type="dxa"/>
            <w:shd w:val="clear" w:color="auto" w:fill="F3F3F3"/>
          </w:tcPr>
          <w:p w14:paraId="43364277" w14:textId="77777777" w:rsidR="00114BC1" w:rsidRPr="00452C41" w:rsidRDefault="00114BC1" w:rsidP="005800CD">
            <w:pPr>
              <w:jc w:val="center"/>
              <w:rPr>
                <w:rFonts w:eastAsia="Calibri"/>
                <w:sz w:val="20"/>
                <w:szCs w:val="20"/>
              </w:rPr>
            </w:pPr>
          </w:p>
        </w:tc>
        <w:tc>
          <w:tcPr>
            <w:tcW w:w="630" w:type="dxa"/>
            <w:shd w:val="clear" w:color="auto" w:fill="F3F3F3"/>
          </w:tcPr>
          <w:p w14:paraId="13A0A507" w14:textId="77777777" w:rsidR="00114BC1" w:rsidRPr="00452C41" w:rsidRDefault="00114BC1" w:rsidP="005800CD">
            <w:pPr>
              <w:jc w:val="center"/>
              <w:rPr>
                <w:rFonts w:eastAsia="Calibri"/>
                <w:sz w:val="20"/>
                <w:szCs w:val="20"/>
              </w:rPr>
            </w:pPr>
          </w:p>
        </w:tc>
        <w:tc>
          <w:tcPr>
            <w:tcW w:w="1670" w:type="dxa"/>
            <w:shd w:val="clear" w:color="auto" w:fill="F3F3F3"/>
          </w:tcPr>
          <w:p w14:paraId="14E7B033" w14:textId="77777777" w:rsidR="00114BC1" w:rsidRPr="00452C41" w:rsidRDefault="00114BC1" w:rsidP="005800CD">
            <w:pPr>
              <w:jc w:val="center"/>
              <w:rPr>
                <w:rFonts w:eastAsia="Calibri"/>
                <w:sz w:val="20"/>
                <w:szCs w:val="20"/>
              </w:rPr>
            </w:pPr>
          </w:p>
        </w:tc>
        <w:tc>
          <w:tcPr>
            <w:tcW w:w="717" w:type="dxa"/>
            <w:shd w:val="clear" w:color="auto" w:fill="F3F3F3"/>
          </w:tcPr>
          <w:p w14:paraId="175F3FEA" w14:textId="77777777" w:rsidR="00114BC1" w:rsidRPr="00452C41" w:rsidRDefault="00114BC1" w:rsidP="005800CD">
            <w:pPr>
              <w:jc w:val="center"/>
              <w:rPr>
                <w:rFonts w:eastAsia="Calibri"/>
                <w:sz w:val="20"/>
                <w:szCs w:val="20"/>
              </w:rPr>
            </w:pPr>
          </w:p>
        </w:tc>
      </w:tr>
      <w:tr w:rsidR="00114BC1" w:rsidRPr="00452C41" w14:paraId="5B75D1D2" w14:textId="77777777" w:rsidTr="005800CD">
        <w:tc>
          <w:tcPr>
            <w:tcW w:w="3082" w:type="dxa"/>
            <w:shd w:val="clear" w:color="auto" w:fill="auto"/>
          </w:tcPr>
          <w:p w14:paraId="3FD72678" w14:textId="77777777" w:rsidR="00114BC1" w:rsidRPr="00452C41" w:rsidRDefault="00114BC1" w:rsidP="005800CD">
            <w:pPr>
              <w:rPr>
                <w:rFonts w:eastAsia="Calibri"/>
                <w:sz w:val="20"/>
                <w:szCs w:val="20"/>
              </w:rPr>
            </w:pPr>
            <w:r w:rsidRPr="00452C41">
              <w:rPr>
                <w:sz w:val="20"/>
                <w:szCs w:val="20"/>
              </w:rPr>
              <w:t xml:space="preserve">   VO</w:t>
            </w:r>
            <w:r w:rsidRPr="00452C41">
              <w:rPr>
                <w:sz w:val="20"/>
                <w:szCs w:val="20"/>
                <w:vertAlign w:val="subscript"/>
              </w:rPr>
              <w:t>2</w:t>
            </w:r>
            <w:r w:rsidRPr="00452C41">
              <w:rPr>
                <w:sz w:val="20"/>
                <w:szCs w:val="20"/>
              </w:rPr>
              <w:t>peak, L O</w:t>
            </w:r>
            <w:r w:rsidRPr="00452C41">
              <w:rPr>
                <w:sz w:val="20"/>
                <w:szCs w:val="20"/>
                <w:vertAlign w:val="subscript"/>
              </w:rPr>
              <w:t>2</w:t>
            </w:r>
            <w:r w:rsidRPr="00452C41">
              <w:rPr>
                <w:sz w:val="20"/>
                <w:szCs w:val="20"/>
                <w:vertAlign w:val="superscript"/>
              </w:rPr>
              <w:t>.</w:t>
            </w:r>
            <w:r w:rsidRPr="00452C41">
              <w:rPr>
                <w:sz w:val="20"/>
                <w:szCs w:val="20"/>
              </w:rPr>
              <w:t>min</w:t>
            </w:r>
            <w:r w:rsidRPr="00452C41">
              <w:rPr>
                <w:sz w:val="20"/>
                <w:szCs w:val="20"/>
                <w:vertAlign w:val="superscript"/>
              </w:rPr>
              <w:t>-1</w:t>
            </w:r>
          </w:p>
        </w:tc>
        <w:tc>
          <w:tcPr>
            <w:tcW w:w="1706" w:type="dxa"/>
            <w:shd w:val="clear" w:color="auto" w:fill="auto"/>
          </w:tcPr>
          <w:p w14:paraId="3BEB95B9" w14:textId="77777777" w:rsidR="00114BC1" w:rsidRPr="00452C41" w:rsidRDefault="00114BC1" w:rsidP="005800CD">
            <w:pPr>
              <w:jc w:val="center"/>
              <w:rPr>
                <w:rFonts w:eastAsia="Calibri"/>
                <w:sz w:val="20"/>
                <w:szCs w:val="20"/>
              </w:rPr>
            </w:pPr>
            <w:r w:rsidRPr="00452C41">
              <w:rPr>
                <w:color w:val="000000"/>
                <w:sz w:val="20"/>
                <w:szCs w:val="20"/>
              </w:rPr>
              <w:t>0 (0.2)</w:t>
            </w:r>
          </w:p>
        </w:tc>
        <w:tc>
          <w:tcPr>
            <w:tcW w:w="834" w:type="dxa"/>
          </w:tcPr>
          <w:p w14:paraId="57DBA2A9" w14:textId="77777777" w:rsidR="00114BC1" w:rsidRPr="00452C41" w:rsidRDefault="00114BC1" w:rsidP="005800CD">
            <w:pPr>
              <w:jc w:val="center"/>
              <w:rPr>
                <w:color w:val="000000"/>
                <w:sz w:val="20"/>
                <w:szCs w:val="20"/>
              </w:rPr>
            </w:pPr>
            <w:r w:rsidRPr="00452C41">
              <w:rPr>
                <w:color w:val="000000"/>
                <w:sz w:val="20"/>
                <w:szCs w:val="20"/>
              </w:rPr>
              <w:t>0.80</w:t>
            </w:r>
          </w:p>
        </w:tc>
        <w:tc>
          <w:tcPr>
            <w:tcW w:w="1620" w:type="dxa"/>
            <w:shd w:val="clear" w:color="auto" w:fill="auto"/>
          </w:tcPr>
          <w:p w14:paraId="1FFC2009" w14:textId="77777777" w:rsidR="00114BC1" w:rsidRPr="00452C41" w:rsidRDefault="00114BC1" w:rsidP="005800CD">
            <w:pPr>
              <w:jc w:val="center"/>
              <w:rPr>
                <w:rFonts w:eastAsia="Calibri"/>
                <w:sz w:val="20"/>
                <w:szCs w:val="20"/>
              </w:rPr>
            </w:pPr>
            <w:r w:rsidRPr="00452C41">
              <w:rPr>
                <w:color w:val="000000"/>
                <w:sz w:val="20"/>
                <w:szCs w:val="20"/>
              </w:rPr>
              <w:t>–0.1 (0.2)</w:t>
            </w:r>
          </w:p>
        </w:tc>
        <w:tc>
          <w:tcPr>
            <w:tcW w:w="630" w:type="dxa"/>
          </w:tcPr>
          <w:p w14:paraId="2665CFAA" w14:textId="77777777" w:rsidR="00114BC1" w:rsidRPr="00452C41" w:rsidRDefault="00114BC1" w:rsidP="005800CD">
            <w:pPr>
              <w:jc w:val="center"/>
              <w:rPr>
                <w:color w:val="000000"/>
                <w:sz w:val="20"/>
                <w:szCs w:val="20"/>
              </w:rPr>
            </w:pPr>
            <w:r w:rsidRPr="00452C41">
              <w:rPr>
                <w:color w:val="000000"/>
                <w:sz w:val="20"/>
                <w:szCs w:val="20"/>
              </w:rPr>
              <w:t>0.10</w:t>
            </w:r>
          </w:p>
        </w:tc>
        <w:tc>
          <w:tcPr>
            <w:tcW w:w="1670" w:type="dxa"/>
          </w:tcPr>
          <w:p w14:paraId="2ADC70CB" w14:textId="77777777" w:rsidR="00114BC1" w:rsidRPr="00452C41" w:rsidRDefault="00114BC1" w:rsidP="005800CD">
            <w:pPr>
              <w:jc w:val="center"/>
              <w:rPr>
                <w:color w:val="000000"/>
                <w:sz w:val="20"/>
                <w:szCs w:val="20"/>
              </w:rPr>
            </w:pPr>
            <w:r w:rsidRPr="00452C41">
              <w:rPr>
                <w:color w:val="000000"/>
                <w:sz w:val="20"/>
                <w:szCs w:val="20"/>
              </w:rPr>
              <w:t>0.1 (0.1)</w:t>
            </w:r>
          </w:p>
        </w:tc>
        <w:tc>
          <w:tcPr>
            <w:tcW w:w="717" w:type="dxa"/>
          </w:tcPr>
          <w:p w14:paraId="65DFF2E3" w14:textId="77777777" w:rsidR="00114BC1" w:rsidRPr="00452C41" w:rsidRDefault="00114BC1" w:rsidP="005800CD">
            <w:pPr>
              <w:jc w:val="center"/>
              <w:rPr>
                <w:color w:val="000000"/>
                <w:sz w:val="20"/>
                <w:szCs w:val="20"/>
              </w:rPr>
            </w:pPr>
            <w:r w:rsidRPr="00452C41">
              <w:rPr>
                <w:color w:val="000000"/>
                <w:sz w:val="20"/>
                <w:szCs w:val="20"/>
              </w:rPr>
              <w:t>0.04</w:t>
            </w:r>
          </w:p>
        </w:tc>
      </w:tr>
      <w:tr w:rsidR="00114BC1" w:rsidRPr="00452C41" w14:paraId="6D99F7B1" w14:textId="77777777" w:rsidTr="005800CD">
        <w:tc>
          <w:tcPr>
            <w:tcW w:w="3082" w:type="dxa"/>
            <w:shd w:val="clear" w:color="auto" w:fill="F3F3F3"/>
          </w:tcPr>
          <w:p w14:paraId="51FF3995" w14:textId="77777777" w:rsidR="00114BC1" w:rsidRPr="00452C41" w:rsidRDefault="00114BC1" w:rsidP="005800CD">
            <w:pPr>
              <w:rPr>
                <w:rFonts w:eastAsia="Calibri"/>
                <w:sz w:val="20"/>
                <w:szCs w:val="20"/>
              </w:rPr>
            </w:pPr>
            <w:r w:rsidRPr="00452C41">
              <w:rPr>
                <w:sz w:val="20"/>
                <w:szCs w:val="20"/>
              </w:rPr>
              <w:t xml:space="preserve">   RER</w:t>
            </w:r>
          </w:p>
        </w:tc>
        <w:tc>
          <w:tcPr>
            <w:tcW w:w="1706" w:type="dxa"/>
            <w:shd w:val="clear" w:color="auto" w:fill="F3F3F3"/>
          </w:tcPr>
          <w:p w14:paraId="4750F03B" w14:textId="77777777" w:rsidR="00114BC1" w:rsidRPr="00452C41" w:rsidRDefault="00114BC1" w:rsidP="005800CD">
            <w:pPr>
              <w:jc w:val="center"/>
              <w:rPr>
                <w:rFonts w:eastAsia="Calibri"/>
                <w:sz w:val="20"/>
                <w:szCs w:val="20"/>
              </w:rPr>
            </w:pPr>
            <w:r w:rsidRPr="00452C41">
              <w:rPr>
                <w:color w:val="000000"/>
                <w:sz w:val="20"/>
                <w:szCs w:val="20"/>
              </w:rPr>
              <w:t>0.1 (0.1)</w:t>
            </w:r>
          </w:p>
        </w:tc>
        <w:tc>
          <w:tcPr>
            <w:tcW w:w="834" w:type="dxa"/>
            <w:shd w:val="clear" w:color="auto" w:fill="F3F3F3"/>
          </w:tcPr>
          <w:p w14:paraId="071CDEE1" w14:textId="77777777" w:rsidR="00114BC1" w:rsidRPr="00452C41" w:rsidRDefault="00114BC1" w:rsidP="005800CD">
            <w:pPr>
              <w:jc w:val="center"/>
              <w:rPr>
                <w:color w:val="000000"/>
                <w:sz w:val="20"/>
                <w:szCs w:val="20"/>
              </w:rPr>
            </w:pPr>
            <w:r w:rsidRPr="00452C41">
              <w:rPr>
                <w:color w:val="000000"/>
                <w:sz w:val="20"/>
                <w:szCs w:val="20"/>
              </w:rPr>
              <w:t>0.04</w:t>
            </w:r>
          </w:p>
        </w:tc>
        <w:tc>
          <w:tcPr>
            <w:tcW w:w="1620" w:type="dxa"/>
            <w:shd w:val="clear" w:color="auto" w:fill="F3F3F3"/>
          </w:tcPr>
          <w:p w14:paraId="799F103D" w14:textId="77777777" w:rsidR="00114BC1" w:rsidRPr="00452C41" w:rsidRDefault="00114BC1" w:rsidP="005800CD">
            <w:pPr>
              <w:jc w:val="center"/>
              <w:rPr>
                <w:rFonts w:eastAsia="Calibri"/>
                <w:sz w:val="20"/>
                <w:szCs w:val="20"/>
              </w:rPr>
            </w:pPr>
            <w:r w:rsidRPr="00452C41">
              <w:rPr>
                <w:color w:val="000000"/>
                <w:sz w:val="20"/>
                <w:szCs w:val="20"/>
              </w:rPr>
              <w:t>0 (0.1)</w:t>
            </w:r>
          </w:p>
        </w:tc>
        <w:tc>
          <w:tcPr>
            <w:tcW w:w="630" w:type="dxa"/>
            <w:shd w:val="clear" w:color="auto" w:fill="F3F3F3"/>
          </w:tcPr>
          <w:p w14:paraId="663EDE55" w14:textId="77777777" w:rsidR="00114BC1" w:rsidRPr="00452C41" w:rsidRDefault="00114BC1" w:rsidP="005800CD">
            <w:pPr>
              <w:jc w:val="center"/>
              <w:rPr>
                <w:color w:val="000000"/>
                <w:sz w:val="20"/>
                <w:szCs w:val="20"/>
              </w:rPr>
            </w:pPr>
            <w:r w:rsidRPr="00452C41">
              <w:rPr>
                <w:color w:val="000000"/>
                <w:sz w:val="20"/>
                <w:szCs w:val="20"/>
              </w:rPr>
              <w:t>0.32</w:t>
            </w:r>
          </w:p>
        </w:tc>
        <w:tc>
          <w:tcPr>
            <w:tcW w:w="1670" w:type="dxa"/>
            <w:shd w:val="clear" w:color="auto" w:fill="F3F3F3"/>
          </w:tcPr>
          <w:p w14:paraId="14E44B8F" w14:textId="77777777" w:rsidR="00114BC1" w:rsidRPr="00452C41" w:rsidRDefault="00114BC1" w:rsidP="005800CD">
            <w:pPr>
              <w:jc w:val="center"/>
              <w:rPr>
                <w:color w:val="000000"/>
                <w:sz w:val="20"/>
                <w:szCs w:val="20"/>
              </w:rPr>
            </w:pPr>
            <w:r w:rsidRPr="00452C41">
              <w:rPr>
                <w:color w:val="000000"/>
                <w:sz w:val="20"/>
                <w:szCs w:val="20"/>
              </w:rPr>
              <w:t>0.1 (0.1)</w:t>
            </w:r>
          </w:p>
        </w:tc>
        <w:tc>
          <w:tcPr>
            <w:tcW w:w="717" w:type="dxa"/>
            <w:shd w:val="clear" w:color="auto" w:fill="F3F3F3"/>
          </w:tcPr>
          <w:p w14:paraId="153356E9" w14:textId="77777777" w:rsidR="00114BC1" w:rsidRPr="00452C41" w:rsidRDefault="00114BC1" w:rsidP="005800CD">
            <w:pPr>
              <w:jc w:val="center"/>
              <w:rPr>
                <w:color w:val="000000"/>
                <w:sz w:val="20"/>
                <w:szCs w:val="20"/>
              </w:rPr>
            </w:pPr>
            <w:r w:rsidRPr="00452C41">
              <w:rPr>
                <w:color w:val="000000"/>
                <w:sz w:val="20"/>
                <w:szCs w:val="20"/>
              </w:rPr>
              <w:t>0.09</w:t>
            </w:r>
          </w:p>
        </w:tc>
      </w:tr>
      <w:tr w:rsidR="00114BC1" w:rsidRPr="00452C41" w14:paraId="710331FA" w14:textId="77777777" w:rsidTr="005800CD">
        <w:tc>
          <w:tcPr>
            <w:tcW w:w="3082" w:type="dxa"/>
            <w:shd w:val="clear" w:color="auto" w:fill="auto"/>
          </w:tcPr>
          <w:p w14:paraId="46C03357" w14:textId="77777777" w:rsidR="00114BC1" w:rsidRPr="00452C41" w:rsidRDefault="00114BC1" w:rsidP="005800CD">
            <w:pPr>
              <w:rPr>
                <w:rFonts w:eastAsia="Calibri"/>
                <w:sz w:val="20"/>
                <w:szCs w:val="20"/>
              </w:rPr>
            </w:pPr>
            <w:r w:rsidRPr="00452C41">
              <w:rPr>
                <w:sz w:val="20"/>
                <w:szCs w:val="20"/>
              </w:rPr>
              <w:t xml:space="preserve">   Ventilation, L O</w:t>
            </w:r>
            <w:r w:rsidRPr="00452C41">
              <w:rPr>
                <w:sz w:val="20"/>
                <w:szCs w:val="20"/>
                <w:vertAlign w:val="subscript"/>
              </w:rPr>
              <w:t>2</w:t>
            </w:r>
            <w:r w:rsidRPr="00452C41">
              <w:rPr>
                <w:sz w:val="20"/>
                <w:szCs w:val="20"/>
                <w:vertAlign w:val="superscript"/>
              </w:rPr>
              <w:t>.</w:t>
            </w:r>
            <w:r w:rsidRPr="00452C41">
              <w:rPr>
                <w:sz w:val="20"/>
                <w:szCs w:val="20"/>
              </w:rPr>
              <w:t>min</w:t>
            </w:r>
            <w:r w:rsidRPr="00452C41">
              <w:rPr>
                <w:sz w:val="20"/>
                <w:szCs w:val="20"/>
                <w:vertAlign w:val="superscript"/>
              </w:rPr>
              <w:t>-1</w:t>
            </w:r>
          </w:p>
        </w:tc>
        <w:tc>
          <w:tcPr>
            <w:tcW w:w="1706" w:type="dxa"/>
            <w:shd w:val="clear" w:color="auto" w:fill="auto"/>
          </w:tcPr>
          <w:p w14:paraId="567E7C20" w14:textId="77777777" w:rsidR="00114BC1" w:rsidRPr="00452C41" w:rsidRDefault="00114BC1" w:rsidP="005800CD">
            <w:pPr>
              <w:jc w:val="center"/>
              <w:rPr>
                <w:rFonts w:eastAsia="Calibri"/>
                <w:sz w:val="20"/>
                <w:szCs w:val="20"/>
              </w:rPr>
            </w:pPr>
            <w:r w:rsidRPr="00452C41">
              <w:rPr>
                <w:color w:val="000000"/>
                <w:sz w:val="20"/>
                <w:szCs w:val="20"/>
              </w:rPr>
              <w:t>0 (8)</w:t>
            </w:r>
          </w:p>
        </w:tc>
        <w:tc>
          <w:tcPr>
            <w:tcW w:w="834" w:type="dxa"/>
          </w:tcPr>
          <w:p w14:paraId="4D6CCA91" w14:textId="77777777" w:rsidR="00114BC1" w:rsidRPr="00452C41" w:rsidRDefault="00114BC1" w:rsidP="005800CD">
            <w:pPr>
              <w:jc w:val="center"/>
              <w:rPr>
                <w:color w:val="000000"/>
                <w:sz w:val="20"/>
                <w:szCs w:val="20"/>
              </w:rPr>
            </w:pPr>
            <w:r w:rsidRPr="00452C41">
              <w:rPr>
                <w:color w:val="000000"/>
                <w:sz w:val="20"/>
                <w:szCs w:val="20"/>
              </w:rPr>
              <w:t>0.53</w:t>
            </w:r>
          </w:p>
        </w:tc>
        <w:tc>
          <w:tcPr>
            <w:tcW w:w="1620" w:type="dxa"/>
            <w:shd w:val="clear" w:color="auto" w:fill="auto"/>
          </w:tcPr>
          <w:p w14:paraId="61A3E894" w14:textId="77777777" w:rsidR="00114BC1" w:rsidRPr="00452C41" w:rsidRDefault="00114BC1" w:rsidP="005800CD">
            <w:pPr>
              <w:jc w:val="center"/>
              <w:rPr>
                <w:rFonts w:eastAsia="Calibri"/>
                <w:sz w:val="20"/>
                <w:szCs w:val="20"/>
              </w:rPr>
            </w:pPr>
            <w:r w:rsidRPr="00452C41">
              <w:rPr>
                <w:color w:val="000000"/>
                <w:sz w:val="20"/>
                <w:szCs w:val="20"/>
              </w:rPr>
              <w:t>–5 (7)</w:t>
            </w:r>
          </w:p>
        </w:tc>
        <w:tc>
          <w:tcPr>
            <w:tcW w:w="630" w:type="dxa"/>
          </w:tcPr>
          <w:p w14:paraId="681E4FAD" w14:textId="77777777" w:rsidR="00114BC1" w:rsidRPr="00452C41" w:rsidRDefault="00114BC1" w:rsidP="005800CD">
            <w:pPr>
              <w:jc w:val="center"/>
              <w:rPr>
                <w:color w:val="000000"/>
                <w:sz w:val="20"/>
                <w:szCs w:val="20"/>
              </w:rPr>
            </w:pPr>
            <w:r w:rsidRPr="00452C41">
              <w:rPr>
                <w:color w:val="000000"/>
                <w:sz w:val="20"/>
                <w:szCs w:val="20"/>
              </w:rPr>
              <w:t>0.02</w:t>
            </w:r>
          </w:p>
        </w:tc>
        <w:tc>
          <w:tcPr>
            <w:tcW w:w="1670" w:type="dxa"/>
          </w:tcPr>
          <w:p w14:paraId="6DE39ED9" w14:textId="77777777" w:rsidR="00114BC1" w:rsidRPr="00452C41" w:rsidRDefault="00114BC1" w:rsidP="005800CD">
            <w:pPr>
              <w:jc w:val="center"/>
              <w:rPr>
                <w:color w:val="000000"/>
                <w:sz w:val="20"/>
                <w:szCs w:val="20"/>
              </w:rPr>
            </w:pPr>
            <w:r w:rsidRPr="00452C41">
              <w:rPr>
                <w:color w:val="000000"/>
                <w:sz w:val="20"/>
                <w:szCs w:val="20"/>
              </w:rPr>
              <w:t>5 (8)</w:t>
            </w:r>
          </w:p>
        </w:tc>
        <w:tc>
          <w:tcPr>
            <w:tcW w:w="717" w:type="dxa"/>
          </w:tcPr>
          <w:p w14:paraId="5051E677" w14:textId="77777777" w:rsidR="00114BC1" w:rsidRPr="00452C41" w:rsidRDefault="00114BC1" w:rsidP="005800CD">
            <w:pPr>
              <w:jc w:val="center"/>
              <w:rPr>
                <w:color w:val="000000"/>
                <w:sz w:val="20"/>
                <w:szCs w:val="20"/>
              </w:rPr>
            </w:pPr>
            <w:r w:rsidRPr="00452C41">
              <w:rPr>
                <w:color w:val="000000"/>
                <w:sz w:val="20"/>
                <w:szCs w:val="20"/>
              </w:rPr>
              <w:t>0.006</w:t>
            </w:r>
          </w:p>
        </w:tc>
      </w:tr>
      <w:tr w:rsidR="00114BC1" w:rsidRPr="00452C41" w14:paraId="065202FB" w14:textId="77777777" w:rsidTr="005800CD">
        <w:tc>
          <w:tcPr>
            <w:tcW w:w="3082" w:type="dxa"/>
            <w:shd w:val="clear" w:color="auto" w:fill="F3F3F3"/>
          </w:tcPr>
          <w:p w14:paraId="22A1405A" w14:textId="77777777" w:rsidR="00114BC1" w:rsidRPr="00452C41" w:rsidRDefault="00114BC1" w:rsidP="005800CD">
            <w:pPr>
              <w:rPr>
                <w:rFonts w:eastAsia="Calibri"/>
                <w:sz w:val="20"/>
                <w:szCs w:val="20"/>
              </w:rPr>
            </w:pPr>
            <w:r w:rsidRPr="00452C41">
              <w:rPr>
                <w:sz w:val="20"/>
                <w:szCs w:val="20"/>
              </w:rPr>
              <w:t xml:space="preserve">   Heart rate, beats</w:t>
            </w:r>
            <w:r w:rsidRPr="00452C41">
              <w:rPr>
                <w:sz w:val="20"/>
                <w:szCs w:val="20"/>
                <w:vertAlign w:val="superscript"/>
              </w:rPr>
              <w:t>.</w:t>
            </w:r>
            <w:r w:rsidRPr="00452C41">
              <w:rPr>
                <w:sz w:val="20"/>
                <w:szCs w:val="20"/>
              </w:rPr>
              <w:t>min</w:t>
            </w:r>
            <w:r w:rsidRPr="00452C41">
              <w:rPr>
                <w:sz w:val="20"/>
                <w:szCs w:val="20"/>
                <w:vertAlign w:val="superscript"/>
              </w:rPr>
              <w:t>-1</w:t>
            </w:r>
          </w:p>
        </w:tc>
        <w:tc>
          <w:tcPr>
            <w:tcW w:w="1706" w:type="dxa"/>
            <w:shd w:val="clear" w:color="auto" w:fill="F3F3F3"/>
          </w:tcPr>
          <w:p w14:paraId="1F2E9257" w14:textId="77777777" w:rsidR="00114BC1" w:rsidRPr="00452C41" w:rsidRDefault="00114BC1" w:rsidP="005800CD">
            <w:pPr>
              <w:jc w:val="center"/>
              <w:rPr>
                <w:rFonts w:eastAsia="Calibri"/>
                <w:sz w:val="20"/>
                <w:szCs w:val="20"/>
              </w:rPr>
            </w:pPr>
            <w:r w:rsidRPr="00452C41">
              <w:rPr>
                <w:color w:val="000000"/>
                <w:sz w:val="20"/>
                <w:szCs w:val="20"/>
              </w:rPr>
              <w:t>6 (12)</w:t>
            </w:r>
          </w:p>
        </w:tc>
        <w:tc>
          <w:tcPr>
            <w:tcW w:w="834" w:type="dxa"/>
            <w:shd w:val="clear" w:color="auto" w:fill="F3F3F3"/>
          </w:tcPr>
          <w:p w14:paraId="58B0DEAF" w14:textId="77777777" w:rsidR="00114BC1" w:rsidRPr="00452C41" w:rsidRDefault="00114BC1" w:rsidP="005800CD">
            <w:pPr>
              <w:jc w:val="center"/>
              <w:rPr>
                <w:color w:val="000000"/>
                <w:sz w:val="20"/>
                <w:szCs w:val="20"/>
              </w:rPr>
            </w:pPr>
            <w:r w:rsidRPr="00452C41">
              <w:rPr>
                <w:color w:val="000000"/>
                <w:sz w:val="20"/>
                <w:szCs w:val="20"/>
              </w:rPr>
              <w:t>0.17</w:t>
            </w:r>
          </w:p>
        </w:tc>
        <w:tc>
          <w:tcPr>
            <w:tcW w:w="1620" w:type="dxa"/>
            <w:shd w:val="clear" w:color="auto" w:fill="F3F3F3"/>
          </w:tcPr>
          <w:p w14:paraId="145BB991" w14:textId="77777777" w:rsidR="00114BC1" w:rsidRPr="00452C41" w:rsidRDefault="00114BC1" w:rsidP="005800CD">
            <w:pPr>
              <w:jc w:val="center"/>
              <w:rPr>
                <w:rFonts w:eastAsia="Calibri"/>
                <w:sz w:val="20"/>
                <w:szCs w:val="20"/>
              </w:rPr>
            </w:pPr>
            <w:r w:rsidRPr="00452C41">
              <w:rPr>
                <w:color w:val="000000"/>
                <w:sz w:val="20"/>
                <w:szCs w:val="20"/>
              </w:rPr>
              <w:t>0 (12)</w:t>
            </w:r>
          </w:p>
        </w:tc>
        <w:tc>
          <w:tcPr>
            <w:tcW w:w="630" w:type="dxa"/>
            <w:shd w:val="clear" w:color="auto" w:fill="F3F3F3"/>
          </w:tcPr>
          <w:p w14:paraId="1DEAA8EC" w14:textId="77777777" w:rsidR="00114BC1" w:rsidRPr="00452C41" w:rsidRDefault="00114BC1" w:rsidP="005800CD">
            <w:pPr>
              <w:jc w:val="center"/>
              <w:rPr>
                <w:color w:val="000000"/>
                <w:sz w:val="20"/>
                <w:szCs w:val="20"/>
              </w:rPr>
            </w:pPr>
            <w:r w:rsidRPr="00452C41">
              <w:rPr>
                <w:color w:val="000000"/>
                <w:sz w:val="20"/>
                <w:szCs w:val="20"/>
              </w:rPr>
              <w:t>0.71</w:t>
            </w:r>
          </w:p>
        </w:tc>
        <w:tc>
          <w:tcPr>
            <w:tcW w:w="1670" w:type="dxa"/>
            <w:shd w:val="clear" w:color="auto" w:fill="F3F3F3"/>
          </w:tcPr>
          <w:p w14:paraId="4E5F36E2" w14:textId="77777777" w:rsidR="00114BC1" w:rsidRPr="00452C41" w:rsidRDefault="00114BC1" w:rsidP="005800CD">
            <w:pPr>
              <w:jc w:val="center"/>
              <w:rPr>
                <w:color w:val="000000"/>
                <w:sz w:val="20"/>
                <w:szCs w:val="20"/>
              </w:rPr>
            </w:pPr>
            <w:r w:rsidRPr="00452C41">
              <w:rPr>
                <w:color w:val="000000"/>
                <w:sz w:val="20"/>
                <w:szCs w:val="20"/>
              </w:rPr>
              <w:t>6 (11)</w:t>
            </w:r>
          </w:p>
        </w:tc>
        <w:tc>
          <w:tcPr>
            <w:tcW w:w="717" w:type="dxa"/>
            <w:shd w:val="clear" w:color="auto" w:fill="F3F3F3"/>
          </w:tcPr>
          <w:p w14:paraId="35C94B14" w14:textId="77777777" w:rsidR="00114BC1" w:rsidRPr="00452C41" w:rsidRDefault="00114BC1" w:rsidP="005800CD">
            <w:pPr>
              <w:jc w:val="center"/>
              <w:rPr>
                <w:color w:val="000000"/>
                <w:sz w:val="20"/>
                <w:szCs w:val="20"/>
              </w:rPr>
            </w:pPr>
            <w:r w:rsidRPr="00452C41">
              <w:rPr>
                <w:color w:val="000000"/>
                <w:sz w:val="20"/>
                <w:szCs w:val="20"/>
              </w:rPr>
              <w:t>0.04</w:t>
            </w:r>
          </w:p>
        </w:tc>
      </w:tr>
      <w:tr w:rsidR="00114BC1" w:rsidRPr="00452C41" w14:paraId="09552108" w14:textId="77777777" w:rsidTr="005800CD">
        <w:tc>
          <w:tcPr>
            <w:tcW w:w="3082" w:type="dxa"/>
            <w:shd w:val="clear" w:color="auto" w:fill="auto"/>
          </w:tcPr>
          <w:p w14:paraId="1348F9F4" w14:textId="77777777" w:rsidR="00114BC1" w:rsidRPr="00452C41" w:rsidRDefault="00114BC1" w:rsidP="005800CD">
            <w:pPr>
              <w:rPr>
                <w:rFonts w:eastAsia="Calibri"/>
                <w:sz w:val="20"/>
                <w:szCs w:val="20"/>
              </w:rPr>
            </w:pPr>
            <w:r w:rsidRPr="00452C41">
              <w:rPr>
                <w:sz w:val="20"/>
                <w:szCs w:val="20"/>
              </w:rPr>
              <w:t xml:space="preserve">   Systolic blood pressure, mmHg</w:t>
            </w:r>
          </w:p>
        </w:tc>
        <w:tc>
          <w:tcPr>
            <w:tcW w:w="1706" w:type="dxa"/>
            <w:shd w:val="clear" w:color="auto" w:fill="auto"/>
          </w:tcPr>
          <w:p w14:paraId="71A9C3E7" w14:textId="77777777" w:rsidR="00114BC1" w:rsidRPr="00452C41" w:rsidRDefault="00114BC1" w:rsidP="005800CD">
            <w:pPr>
              <w:jc w:val="center"/>
              <w:rPr>
                <w:rFonts w:eastAsia="Calibri"/>
                <w:sz w:val="20"/>
                <w:szCs w:val="20"/>
              </w:rPr>
            </w:pPr>
            <w:r w:rsidRPr="00452C41">
              <w:rPr>
                <w:color w:val="000000"/>
                <w:sz w:val="20"/>
                <w:szCs w:val="20"/>
              </w:rPr>
              <w:t>–1 (20)</w:t>
            </w:r>
          </w:p>
        </w:tc>
        <w:tc>
          <w:tcPr>
            <w:tcW w:w="834" w:type="dxa"/>
          </w:tcPr>
          <w:p w14:paraId="18CD72F3" w14:textId="77777777" w:rsidR="00114BC1" w:rsidRPr="00452C41" w:rsidRDefault="00114BC1" w:rsidP="005800CD">
            <w:pPr>
              <w:jc w:val="center"/>
              <w:rPr>
                <w:color w:val="000000"/>
                <w:sz w:val="20"/>
                <w:szCs w:val="20"/>
              </w:rPr>
            </w:pPr>
            <w:r w:rsidRPr="00452C41">
              <w:rPr>
                <w:color w:val="000000"/>
                <w:sz w:val="20"/>
                <w:szCs w:val="20"/>
              </w:rPr>
              <w:t>0.70</w:t>
            </w:r>
          </w:p>
        </w:tc>
        <w:tc>
          <w:tcPr>
            <w:tcW w:w="1620" w:type="dxa"/>
            <w:shd w:val="clear" w:color="auto" w:fill="auto"/>
          </w:tcPr>
          <w:p w14:paraId="1CBF9BD6" w14:textId="77777777" w:rsidR="00114BC1" w:rsidRPr="00452C41" w:rsidRDefault="00114BC1" w:rsidP="005800CD">
            <w:pPr>
              <w:jc w:val="center"/>
              <w:rPr>
                <w:rFonts w:eastAsia="Calibri"/>
                <w:sz w:val="20"/>
                <w:szCs w:val="20"/>
              </w:rPr>
            </w:pPr>
            <w:r w:rsidRPr="00452C41">
              <w:rPr>
                <w:color w:val="000000"/>
                <w:sz w:val="20"/>
                <w:szCs w:val="20"/>
              </w:rPr>
              <w:t>0 (19)</w:t>
            </w:r>
          </w:p>
        </w:tc>
        <w:tc>
          <w:tcPr>
            <w:tcW w:w="630" w:type="dxa"/>
          </w:tcPr>
          <w:p w14:paraId="7DCA261F" w14:textId="77777777" w:rsidR="00114BC1" w:rsidRPr="00452C41" w:rsidRDefault="00114BC1" w:rsidP="005800CD">
            <w:pPr>
              <w:jc w:val="center"/>
              <w:rPr>
                <w:color w:val="000000"/>
                <w:sz w:val="20"/>
                <w:szCs w:val="20"/>
              </w:rPr>
            </w:pPr>
            <w:r w:rsidRPr="00452C41">
              <w:rPr>
                <w:color w:val="000000"/>
                <w:sz w:val="20"/>
                <w:szCs w:val="20"/>
              </w:rPr>
              <w:t>0.84</w:t>
            </w:r>
          </w:p>
        </w:tc>
        <w:tc>
          <w:tcPr>
            <w:tcW w:w="1670" w:type="dxa"/>
          </w:tcPr>
          <w:p w14:paraId="4F257B1B" w14:textId="77777777" w:rsidR="00114BC1" w:rsidRPr="00452C41" w:rsidRDefault="00114BC1" w:rsidP="005800CD">
            <w:pPr>
              <w:jc w:val="center"/>
              <w:rPr>
                <w:color w:val="000000"/>
                <w:sz w:val="20"/>
                <w:szCs w:val="20"/>
              </w:rPr>
            </w:pPr>
            <w:r w:rsidRPr="00452C41">
              <w:rPr>
                <w:color w:val="000000"/>
                <w:sz w:val="20"/>
                <w:szCs w:val="20"/>
              </w:rPr>
              <w:t>–1 (21)</w:t>
            </w:r>
          </w:p>
        </w:tc>
        <w:tc>
          <w:tcPr>
            <w:tcW w:w="717" w:type="dxa"/>
          </w:tcPr>
          <w:p w14:paraId="6BF0A0C9" w14:textId="77777777" w:rsidR="00114BC1" w:rsidRPr="00452C41" w:rsidRDefault="00114BC1" w:rsidP="005800CD">
            <w:pPr>
              <w:jc w:val="center"/>
              <w:rPr>
                <w:color w:val="000000"/>
                <w:sz w:val="20"/>
                <w:szCs w:val="20"/>
              </w:rPr>
            </w:pPr>
            <w:r w:rsidRPr="00452C41">
              <w:rPr>
                <w:color w:val="000000"/>
                <w:sz w:val="20"/>
                <w:szCs w:val="20"/>
              </w:rPr>
              <w:t>0.74</w:t>
            </w:r>
          </w:p>
        </w:tc>
      </w:tr>
      <w:tr w:rsidR="00114BC1" w:rsidRPr="00452C41" w14:paraId="2FD948A4" w14:textId="77777777" w:rsidTr="005800CD">
        <w:tc>
          <w:tcPr>
            <w:tcW w:w="3082" w:type="dxa"/>
            <w:shd w:val="clear" w:color="auto" w:fill="F3F3F3"/>
          </w:tcPr>
          <w:p w14:paraId="21E0D380" w14:textId="77777777" w:rsidR="00114BC1" w:rsidRPr="00452C41" w:rsidRDefault="00114BC1" w:rsidP="005800CD">
            <w:pPr>
              <w:rPr>
                <w:rFonts w:eastAsia="Calibri"/>
                <w:sz w:val="20"/>
                <w:szCs w:val="20"/>
              </w:rPr>
            </w:pPr>
            <w:r w:rsidRPr="00452C41">
              <w:rPr>
                <w:sz w:val="20"/>
                <w:szCs w:val="20"/>
              </w:rPr>
              <w:t xml:space="preserve">   Diastolic blood pressure, mmHg</w:t>
            </w:r>
          </w:p>
        </w:tc>
        <w:tc>
          <w:tcPr>
            <w:tcW w:w="1706" w:type="dxa"/>
            <w:shd w:val="clear" w:color="auto" w:fill="F3F3F3"/>
          </w:tcPr>
          <w:p w14:paraId="491E93B1" w14:textId="77777777" w:rsidR="00114BC1" w:rsidRPr="00452C41" w:rsidRDefault="00114BC1" w:rsidP="005800CD">
            <w:pPr>
              <w:jc w:val="center"/>
              <w:rPr>
                <w:rFonts w:eastAsia="Calibri"/>
                <w:sz w:val="20"/>
                <w:szCs w:val="20"/>
              </w:rPr>
            </w:pPr>
            <w:r w:rsidRPr="00452C41">
              <w:rPr>
                <w:color w:val="000000"/>
                <w:sz w:val="20"/>
                <w:szCs w:val="20"/>
              </w:rPr>
              <w:t>–1 (8)</w:t>
            </w:r>
          </w:p>
        </w:tc>
        <w:tc>
          <w:tcPr>
            <w:tcW w:w="834" w:type="dxa"/>
            <w:shd w:val="clear" w:color="auto" w:fill="F3F3F3"/>
          </w:tcPr>
          <w:p w14:paraId="3514BE00" w14:textId="77777777" w:rsidR="00114BC1" w:rsidRPr="00452C41" w:rsidRDefault="00114BC1" w:rsidP="005800CD">
            <w:pPr>
              <w:jc w:val="center"/>
              <w:rPr>
                <w:color w:val="000000"/>
                <w:sz w:val="20"/>
                <w:szCs w:val="20"/>
              </w:rPr>
            </w:pPr>
            <w:r w:rsidRPr="00452C41">
              <w:rPr>
                <w:color w:val="000000"/>
                <w:sz w:val="20"/>
                <w:szCs w:val="20"/>
              </w:rPr>
              <w:t>0.65</w:t>
            </w:r>
          </w:p>
        </w:tc>
        <w:tc>
          <w:tcPr>
            <w:tcW w:w="1620" w:type="dxa"/>
            <w:shd w:val="clear" w:color="auto" w:fill="F3F3F3"/>
          </w:tcPr>
          <w:p w14:paraId="77C9D186" w14:textId="77777777" w:rsidR="00114BC1" w:rsidRPr="00452C41" w:rsidRDefault="00114BC1" w:rsidP="005800CD">
            <w:pPr>
              <w:jc w:val="center"/>
              <w:rPr>
                <w:rFonts w:eastAsia="Calibri"/>
                <w:sz w:val="20"/>
                <w:szCs w:val="20"/>
              </w:rPr>
            </w:pPr>
            <w:r w:rsidRPr="00452C41">
              <w:rPr>
                <w:color w:val="000000"/>
                <w:sz w:val="20"/>
                <w:szCs w:val="20"/>
              </w:rPr>
              <w:t>–1 (10)</w:t>
            </w:r>
          </w:p>
        </w:tc>
        <w:tc>
          <w:tcPr>
            <w:tcW w:w="630" w:type="dxa"/>
            <w:shd w:val="clear" w:color="auto" w:fill="F3F3F3"/>
          </w:tcPr>
          <w:p w14:paraId="1478057B" w14:textId="77777777" w:rsidR="00114BC1" w:rsidRPr="00452C41" w:rsidRDefault="00114BC1" w:rsidP="005800CD">
            <w:pPr>
              <w:jc w:val="center"/>
              <w:rPr>
                <w:color w:val="000000"/>
                <w:sz w:val="20"/>
                <w:szCs w:val="20"/>
              </w:rPr>
            </w:pPr>
            <w:r w:rsidRPr="00452C41">
              <w:rPr>
                <w:color w:val="000000"/>
                <w:sz w:val="20"/>
                <w:szCs w:val="20"/>
              </w:rPr>
              <w:t>0.93</w:t>
            </w:r>
          </w:p>
        </w:tc>
        <w:tc>
          <w:tcPr>
            <w:tcW w:w="1670" w:type="dxa"/>
            <w:shd w:val="clear" w:color="auto" w:fill="F3F3F3"/>
          </w:tcPr>
          <w:p w14:paraId="5B7706A4" w14:textId="77777777" w:rsidR="00114BC1" w:rsidRPr="00452C41" w:rsidRDefault="00114BC1" w:rsidP="005800CD">
            <w:pPr>
              <w:jc w:val="center"/>
              <w:rPr>
                <w:color w:val="000000"/>
                <w:sz w:val="20"/>
                <w:szCs w:val="20"/>
              </w:rPr>
            </w:pPr>
            <w:r w:rsidRPr="00452C41">
              <w:rPr>
                <w:color w:val="000000"/>
                <w:sz w:val="20"/>
                <w:szCs w:val="20"/>
              </w:rPr>
              <w:t>0 (9)</w:t>
            </w:r>
          </w:p>
        </w:tc>
        <w:tc>
          <w:tcPr>
            <w:tcW w:w="717" w:type="dxa"/>
            <w:shd w:val="clear" w:color="auto" w:fill="F3F3F3"/>
          </w:tcPr>
          <w:p w14:paraId="00469BF2" w14:textId="77777777" w:rsidR="00114BC1" w:rsidRPr="00452C41" w:rsidRDefault="00114BC1" w:rsidP="005800CD">
            <w:pPr>
              <w:jc w:val="center"/>
              <w:rPr>
                <w:color w:val="000000"/>
                <w:sz w:val="20"/>
                <w:szCs w:val="20"/>
              </w:rPr>
            </w:pPr>
            <w:r w:rsidRPr="00452C41">
              <w:rPr>
                <w:color w:val="000000"/>
                <w:sz w:val="20"/>
                <w:szCs w:val="20"/>
              </w:rPr>
              <w:t>0.55</w:t>
            </w:r>
          </w:p>
        </w:tc>
      </w:tr>
      <w:tr w:rsidR="00114BC1" w:rsidRPr="00452C41" w14:paraId="184B74E9" w14:textId="77777777" w:rsidTr="005800CD">
        <w:tc>
          <w:tcPr>
            <w:tcW w:w="3082" w:type="dxa"/>
            <w:shd w:val="clear" w:color="auto" w:fill="auto"/>
          </w:tcPr>
          <w:p w14:paraId="3DC4781F" w14:textId="77777777" w:rsidR="00114BC1" w:rsidRPr="00452C41" w:rsidRDefault="00114BC1" w:rsidP="005800CD">
            <w:pPr>
              <w:rPr>
                <w:sz w:val="20"/>
                <w:szCs w:val="20"/>
              </w:rPr>
            </w:pPr>
            <w:r w:rsidRPr="00452C41">
              <w:rPr>
                <w:rFonts w:eastAsia="Calibri"/>
                <w:b/>
                <w:sz w:val="20"/>
                <w:szCs w:val="20"/>
              </w:rPr>
              <w:t>Strength</w:t>
            </w:r>
          </w:p>
        </w:tc>
        <w:tc>
          <w:tcPr>
            <w:tcW w:w="1706" w:type="dxa"/>
            <w:shd w:val="clear" w:color="auto" w:fill="auto"/>
          </w:tcPr>
          <w:p w14:paraId="35411C7F" w14:textId="77777777" w:rsidR="00114BC1" w:rsidRPr="00452C41" w:rsidRDefault="00114BC1" w:rsidP="005800CD">
            <w:pPr>
              <w:jc w:val="center"/>
              <w:rPr>
                <w:rFonts w:eastAsia="Calibri"/>
                <w:sz w:val="20"/>
                <w:szCs w:val="20"/>
              </w:rPr>
            </w:pPr>
          </w:p>
        </w:tc>
        <w:tc>
          <w:tcPr>
            <w:tcW w:w="834" w:type="dxa"/>
            <w:shd w:val="clear" w:color="auto" w:fill="auto"/>
          </w:tcPr>
          <w:p w14:paraId="1DEF08CF" w14:textId="77777777" w:rsidR="00114BC1" w:rsidRPr="00452C41" w:rsidRDefault="00114BC1" w:rsidP="005800CD">
            <w:pPr>
              <w:jc w:val="center"/>
              <w:rPr>
                <w:color w:val="000000"/>
                <w:sz w:val="20"/>
                <w:szCs w:val="20"/>
              </w:rPr>
            </w:pPr>
          </w:p>
        </w:tc>
        <w:tc>
          <w:tcPr>
            <w:tcW w:w="1620" w:type="dxa"/>
            <w:shd w:val="clear" w:color="auto" w:fill="auto"/>
          </w:tcPr>
          <w:p w14:paraId="7631AA6A" w14:textId="77777777" w:rsidR="00114BC1" w:rsidRPr="00452C41" w:rsidRDefault="00114BC1" w:rsidP="005800CD">
            <w:pPr>
              <w:jc w:val="center"/>
              <w:rPr>
                <w:rFonts w:eastAsia="Calibri"/>
                <w:sz w:val="20"/>
                <w:szCs w:val="20"/>
              </w:rPr>
            </w:pPr>
          </w:p>
        </w:tc>
        <w:tc>
          <w:tcPr>
            <w:tcW w:w="630" w:type="dxa"/>
            <w:shd w:val="clear" w:color="auto" w:fill="auto"/>
          </w:tcPr>
          <w:p w14:paraId="6A638DB4" w14:textId="77777777" w:rsidR="00114BC1" w:rsidRPr="00452C41" w:rsidRDefault="00114BC1" w:rsidP="005800CD">
            <w:pPr>
              <w:jc w:val="center"/>
              <w:rPr>
                <w:color w:val="000000"/>
                <w:sz w:val="20"/>
                <w:szCs w:val="20"/>
              </w:rPr>
            </w:pPr>
          </w:p>
        </w:tc>
        <w:tc>
          <w:tcPr>
            <w:tcW w:w="1670" w:type="dxa"/>
            <w:shd w:val="clear" w:color="auto" w:fill="auto"/>
          </w:tcPr>
          <w:p w14:paraId="0840337F" w14:textId="77777777" w:rsidR="00114BC1" w:rsidRPr="00452C41" w:rsidRDefault="00114BC1" w:rsidP="005800CD">
            <w:pPr>
              <w:jc w:val="center"/>
              <w:rPr>
                <w:color w:val="000000"/>
                <w:sz w:val="20"/>
                <w:szCs w:val="20"/>
              </w:rPr>
            </w:pPr>
          </w:p>
        </w:tc>
        <w:tc>
          <w:tcPr>
            <w:tcW w:w="717" w:type="dxa"/>
            <w:shd w:val="clear" w:color="auto" w:fill="auto"/>
          </w:tcPr>
          <w:p w14:paraId="22044157" w14:textId="77777777" w:rsidR="00114BC1" w:rsidRPr="00452C41" w:rsidRDefault="00114BC1" w:rsidP="005800CD">
            <w:pPr>
              <w:jc w:val="center"/>
              <w:rPr>
                <w:color w:val="000000"/>
                <w:sz w:val="20"/>
                <w:szCs w:val="20"/>
              </w:rPr>
            </w:pPr>
          </w:p>
        </w:tc>
      </w:tr>
      <w:tr w:rsidR="00114BC1" w:rsidRPr="00452C41" w14:paraId="37A95F33" w14:textId="77777777" w:rsidTr="005800CD">
        <w:tc>
          <w:tcPr>
            <w:tcW w:w="3082" w:type="dxa"/>
            <w:shd w:val="clear" w:color="auto" w:fill="F3F3F3"/>
          </w:tcPr>
          <w:p w14:paraId="21D0BB01" w14:textId="77777777" w:rsidR="00114BC1" w:rsidRPr="00452C41" w:rsidRDefault="00114BC1" w:rsidP="005800CD">
            <w:pPr>
              <w:rPr>
                <w:sz w:val="20"/>
                <w:szCs w:val="20"/>
              </w:rPr>
            </w:pPr>
            <w:r w:rsidRPr="00452C41">
              <w:rPr>
                <w:rFonts w:eastAsia="Calibri"/>
                <w:sz w:val="20"/>
                <w:szCs w:val="20"/>
              </w:rPr>
              <w:t xml:space="preserve">   1 RM leg press, </w:t>
            </w:r>
            <w:proofErr w:type="spellStart"/>
            <w:r w:rsidRPr="00452C41">
              <w:rPr>
                <w:rFonts w:eastAsia="Calibri"/>
                <w:sz w:val="20"/>
                <w:szCs w:val="20"/>
              </w:rPr>
              <w:t>lbs</w:t>
            </w:r>
            <w:proofErr w:type="spellEnd"/>
          </w:p>
        </w:tc>
        <w:tc>
          <w:tcPr>
            <w:tcW w:w="1706" w:type="dxa"/>
            <w:shd w:val="clear" w:color="auto" w:fill="F3F3F3"/>
          </w:tcPr>
          <w:p w14:paraId="5FA2DD38" w14:textId="77777777" w:rsidR="00114BC1" w:rsidRPr="00452C41" w:rsidRDefault="00114BC1" w:rsidP="005800CD">
            <w:pPr>
              <w:jc w:val="center"/>
              <w:rPr>
                <w:rFonts w:eastAsia="Calibri"/>
                <w:sz w:val="20"/>
                <w:szCs w:val="20"/>
              </w:rPr>
            </w:pPr>
            <w:r w:rsidRPr="00452C41">
              <w:rPr>
                <w:color w:val="000000"/>
                <w:sz w:val="20"/>
                <w:szCs w:val="20"/>
              </w:rPr>
              <w:t>–17 (28)</w:t>
            </w:r>
          </w:p>
        </w:tc>
        <w:tc>
          <w:tcPr>
            <w:tcW w:w="834" w:type="dxa"/>
            <w:shd w:val="clear" w:color="auto" w:fill="F3F3F3"/>
          </w:tcPr>
          <w:p w14:paraId="060D8E9B" w14:textId="77777777" w:rsidR="00114BC1" w:rsidRPr="00452C41" w:rsidRDefault="00114BC1" w:rsidP="005800CD">
            <w:pPr>
              <w:jc w:val="center"/>
              <w:rPr>
                <w:color w:val="000000"/>
                <w:sz w:val="20"/>
                <w:szCs w:val="20"/>
              </w:rPr>
            </w:pPr>
            <w:r w:rsidRPr="00452C41">
              <w:rPr>
                <w:color w:val="000000"/>
                <w:sz w:val="20"/>
                <w:szCs w:val="20"/>
              </w:rPr>
              <w:t>0.08</w:t>
            </w:r>
          </w:p>
        </w:tc>
        <w:tc>
          <w:tcPr>
            <w:tcW w:w="1620" w:type="dxa"/>
            <w:shd w:val="clear" w:color="auto" w:fill="F3F3F3"/>
          </w:tcPr>
          <w:p w14:paraId="51247AF1" w14:textId="77777777" w:rsidR="00114BC1" w:rsidRPr="00452C41" w:rsidRDefault="00114BC1" w:rsidP="005800CD">
            <w:pPr>
              <w:jc w:val="center"/>
              <w:rPr>
                <w:rFonts w:eastAsia="Calibri"/>
                <w:sz w:val="20"/>
                <w:szCs w:val="20"/>
              </w:rPr>
            </w:pPr>
            <w:r w:rsidRPr="00452C41">
              <w:rPr>
                <w:color w:val="000000"/>
                <w:sz w:val="20"/>
                <w:szCs w:val="20"/>
              </w:rPr>
              <w:t>8 (41)</w:t>
            </w:r>
          </w:p>
        </w:tc>
        <w:tc>
          <w:tcPr>
            <w:tcW w:w="630" w:type="dxa"/>
            <w:shd w:val="clear" w:color="auto" w:fill="F3F3F3"/>
          </w:tcPr>
          <w:p w14:paraId="7F8D56F3" w14:textId="77777777" w:rsidR="00114BC1" w:rsidRPr="00452C41" w:rsidRDefault="00114BC1" w:rsidP="005800CD">
            <w:pPr>
              <w:jc w:val="center"/>
              <w:rPr>
                <w:color w:val="000000"/>
                <w:sz w:val="20"/>
                <w:szCs w:val="20"/>
              </w:rPr>
            </w:pPr>
            <w:r w:rsidRPr="00452C41">
              <w:rPr>
                <w:color w:val="000000"/>
                <w:sz w:val="20"/>
                <w:szCs w:val="20"/>
              </w:rPr>
              <w:t>0.30</w:t>
            </w:r>
          </w:p>
        </w:tc>
        <w:tc>
          <w:tcPr>
            <w:tcW w:w="1670" w:type="dxa"/>
            <w:shd w:val="clear" w:color="auto" w:fill="F3F3F3"/>
          </w:tcPr>
          <w:p w14:paraId="6C4D9B97" w14:textId="77777777" w:rsidR="00114BC1" w:rsidRPr="00452C41" w:rsidRDefault="00114BC1" w:rsidP="005800CD">
            <w:pPr>
              <w:jc w:val="center"/>
              <w:rPr>
                <w:color w:val="000000"/>
                <w:sz w:val="20"/>
                <w:szCs w:val="20"/>
              </w:rPr>
            </w:pPr>
            <w:r w:rsidRPr="00452C41">
              <w:rPr>
                <w:color w:val="000000"/>
                <w:sz w:val="20"/>
                <w:szCs w:val="20"/>
              </w:rPr>
              <w:t>–24 (35)</w:t>
            </w:r>
          </w:p>
        </w:tc>
        <w:tc>
          <w:tcPr>
            <w:tcW w:w="717" w:type="dxa"/>
            <w:shd w:val="clear" w:color="auto" w:fill="F3F3F3"/>
          </w:tcPr>
          <w:p w14:paraId="7856DEAC" w14:textId="77777777" w:rsidR="00114BC1" w:rsidRPr="00452C41" w:rsidRDefault="00114BC1" w:rsidP="005800CD">
            <w:pPr>
              <w:jc w:val="center"/>
              <w:rPr>
                <w:color w:val="000000"/>
                <w:sz w:val="20"/>
                <w:szCs w:val="20"/>
              </w:rPr>
            </w:pPr>
            <w:r w:rsidRPr="00452C41">
              <w:rPr>
                <w:color w:val="000000"/>
                <w:sz w:val="20"/>
                <w:szCs w:val="20"/>
              </w:rPr>
              <w:t>0.01</w:t>
            </w:r>
          </w:p>
        </w:tc>
      </w:tr>
      <w:tr w:rsidR="00114BC1" w:rsidRPr="00452C41" w14:paraId="37073E3D" w14:textId="77777777" w:rsidTr="005800CD">
        <w:tc>
          <w:tcPr>
            <w:tcW w:w="3082" w:type="dxa"/>
            <w:shd w:val="clear" w:color="auto" w:fill="auto"/>
          </w:tcPr>
          <w:p w14:paraId="77B604F6" w14:textId="77777777" w:rsidR="00114BC1" w:rsidRPr="00452C41" w:rsidRDefault="00114BC1" w:rsidP="005800CD">
            <w:pPr>
              <w:rPr>
                <w:sz w:val="20"/>
                <w:szCs w:val="20"/>
              </w:rPr>
            </w:pPr>
            <w:r w:rsidRPr="00452C41">
              <w:rPr>
                <w:rFonts w:eastAsia="Calibri"/>
                <w:sz w:val="20"/>
                <w:szCs w:val="20"/>
              </w:rPr>
              <w:t xml:space="preserve">   1 RM chest press, </w:t>
            </w:r>
            <w:proofErr w:type="spellStart"/>
            <w:r w:rsidRPr="00452C41">
              <w:rPr>
                <w:rFonts w:eastAsia="Calibri"/>
                <w:sz w:val="20"/>
                <w:szCs w:val="20"/>
              </w:rPr>
              <w:t>lbs</w:t>
            </w:r>
            <w:proofErr w:type="spellEnd"/>
          </w:p>
        </w:tc>
        <w:tc>
          <w:tcPr>
            <w:tcW w:w="1706" w:type="dxa"/>
            <w:shd w:val="clear" w:color="auto" w:fill="auto"/>
          </w:tcPr>
          <w:p w14:paraId="1CE93E9D" w14:textId="77777777" w:rsidR="00114BC1" w:rsidRPr="00452C41" w:rsidRDefault="00114BC1" w:rsidP="005800CD">
            <w:pPr>
              <w:jc w:val="center"/>
              <w:rPr>
                <w:rFonts w:eastAsia="Calibri"/>
                <w:sz w:val="20"/>
                <w:szCs w:val="20"/>
              </w:rPr>
            </w:pPr>
            <w:r w:rsidRPr="00452C41">
              <w:rPr>
                <w:color w:val="000000"/>
                <w:sz w:val="20"/>
                <w:szCs w:val="20"/>
              </w:rPr>
              <w:t>–8 (13)</w:t>
            </w:r>
          </w:p>
        </w:tc>
        <w:tc>
          <w:tcPr>
            <w:tcW w:w="834" w:type="dxa"/>
            <w:shd w:val="clear" w:color="auto" w:fill="auto"/>
          </w:tcPr>
          <w:p w14:paraId="3B13E095" w14:textId="77777777" w:rsidR="00114BC1" w:rsidRPr="00452C41" w:rsidRDefault="00114BC1" w:rsidP="005800CD">
            <w:pPr>
              <w:jc w:val="center"/>
              <w:rPr>
                <w:color w:val="000000"/>
                <w:sz w:val="20"/>
                <w:szCs w:val="20"/>
              </w:rPr>
            </w:pPr>
            <w:r w:rsidRPr="00452C41">
              <w:rPr>
                <w:color w:val="000000"/>
                <w:sz w:val="20"/>
                <w:szCs w:val="20"/>
              </w:rPr>
              <w:t>0.01</w:t>
            </w:r>
          </w:p>
        </w:tc>
        <w:tc>
          <w:tcPr>
            <w:tcW w:w="1620" w:type="dxa"/>
            <w:shd w:val="clear" w:color="auto" w:fill="auto"/>
          </w:tcPr>
          <w:p w14:paraId="049B7BEA" w14:textId="77777777" w:rsidR="00114BC1" w:rsidRPr="00452C41" w:rsidRDefault="00114BC1" w:rsidP="005800CD">
            <w:pPr>
              <w:jc w:val="center"/>
              <w:rPr>
                <w:rFonts w:eastAsia="Calibri"/>
                <w:sz w:val="20"/>
                <w:szCs w:val="20"/>
              </w:rPr>
            </w:pPr>
            <w:r w:rsidRPr="00452C41">
              <w:rPr>
                <w:color w:val="000000"/>
                <w:sz w:val="20"/>
                <w:szCs w:val="20"/>
              </w:rPr>
              <w:t>14 (26)</w:t>
            </w:r>
          </w:p>
        </w:tc>
        <w:tc>
          <w:tcPr>
            <w:tcW w:w="630" w:type="dxa"/>
            <w:shd w:val="clear" w:color="auto" w:fill="auto"/>
          </w:tcPr>
          <w:p w14:paraId="5BED73EF" w14:textId="77777777" w:rsidR="00114BC1" w:rsidRPr="00452C41" w:rsidRDefault="00114BC1" w:rsidP="005800CD">
            <w:pPr>
              <w:jc w:val="center"/>
              <w:rPr>
                <w:color w:val="000000"/>
                <w:sz w:val="20"/>
                <w:szCs w:val="20"/>
              </w:rPr>
            </w:pPr>
            <w:r w:rsidRPr="00452C41">
              <w:rPr>
                <w:color w:val="000000"/>
                <w:sz w:val="20"/>
                <w:szCs w:val="20"/>
              </w:rPr>
              <w:t>0.21</w:t>
            </w:r>
          </w:p>
        </w:tc>
        <w:tc>
          <w:tcPr>
            <w:tcW w:w="1670" w:type="dxa"/>
            <w:shd w:val="clear" w:color="auto" w:fill="auto"/>
          </w:tcPr>
          <w:p w14:paraId="3F856CF1" w14:textId="77777777" w:rsidR="00114BC1" w:rsidRPr="00452C41" w:rsidRDefault="00114BC1" w:rsidP="005800CD">
            <w:pPr>
              <w:jc w:val="center"/>
              <w:rPr>
                <w:color w:val="000000"/>
                <w:sz w:val="20"/>
                <w:szCs w:val="20"/>
              </w:rPr>
            </w:pPr>
            <w:r w:rsidRPr="00452C41">
              <w:rPr>
                <w:color w:val="000000"/>
                <w:sz w:val="20"/>
                <w:szCs w:val="20"/>
              </w:rPr>
              <w:t>–22 (25)</w:t>
            </w:r>
          </w:p>
        </w:tc>
        <w:tc>
          <w:tcPr>
            <w:tcW w:w="717" w:type="dxa"/>
            <w:shd w:val="clear" w:color="auto" w:fill="auto"/>
          </w:tcPr>
          <w:p w14:paraId="7CB14093" w14:textId="77777777" w:rsidR="00114BC1" w:rsidRPr="00452C41" w:rsidRDefault="00114BC1" w:rsidP="005800CD">
            <w:pPr>
              <w:jc w:val="center"/>
              <w:rPr>
                <w:color w:val="000000"/>
                <w:sz w:val="20"/>
                <w:szCs w:val="20"/>
              </w:rPr>
            </w:pPr>
            <w:r w:rsidRPr="00452C41">
              <w:rPr>
                <w:color w:val="000000"/>
                <w:sz w:val="20"/>
                <w:szCs w:val="20"/>
              </w:rPr>
              <w:t>0.002</w:t>
            </w:r>
          </w:p>
        </w:tc>
      </w:tr>
      <w:tr w:rsidR="00114BC1" w:rsidRPr="00452C41" w14:paraId="08AFBA07" w14:textId="77777777" w:rsidTr="005800CD">
        <w:tc>
          <w:tcPr>
            <w:tcW w:w="3082" w:type="dxa"/>
            <w:shd w:val="clear" w:color="auto" w:fill="F3F3F3"/>
          </w:tcPr>
          <w:p w14:paraId="2BEB874C" w14:textId="77777777" w:rsidR="00114BC1" w:rsidRPr="00452C41" w:rsidRDefault="00114BC1" w:rsidP="005800CD">
            <w:pPr>
              <w:rPr>
                <w:sz w:val="20"/>
                <w:szCs w:val="20"/>
              </w:rPr>
            </w:pPr>
            <w:r w:rsidRPr="00452C41">
              <w:rPr>
                <w:rFonts w:eastAsia="Calibri"/>
                <w:sz w:val="20"/>
                <w:szCs w:val="20"/>
              </w:rPr>
              <w:t xml:space="preserve">   1 RM seated row, </w:t>
            </w:r>
            <w:proofErr w:type="spellStart"/>
            <w:r w:rsidRPr="00452C41">
              <w:rPr>
                <w:rFonts w:eastAsia="Calibri"/>
                <w:sz w:val="20"/>
                <w:szCs w:val="20"/>
              </w:rPr>
              <w:t>lbs</w:t>
            </w:r>
            <w:proofErr w:type="spellEnd"/>
          </w:p>
        </w:tc>
        <w:tc>
          <w:tcPr>
            <w:tcW w:w="1706" w:type="dxa"/>
            <w:shd w:val="clear" w:color="auto" w:fill="F3F3F3"/>
          </w:tcPr>
          <w:p w14:paraId="05B23FFC" w14:textId="77777777" w:rsidR="00114BC1" w:rsidRPr="00452C41" w:rsidRDefault="00114BC1" w:rsidP="005800CD">
            <w:pPr>
              <w:jc w:val="center"/>
              <w:rPr>
                <w:rFonts w:eastAsia="Calibri"/>
                <w:sz w:val="20"/>
                <w:szCs w:val="20"/>
              </w:rPr>
            </w:pPr>
            <w:r w:rsidRPr="00452C41">
              <w:rPr>
                <w:color w:val="000000"/>
                <w:sz w:val="20"/>
                <w:szCs w:val="20"/>
              </w:rPr>
              <w:t>–11 (11)</w:t>
            </w:r>
          </w:p>
        </w:tc>
        <w:tc>
          <w:tcPr>
            <w:tcW w:w="834" w:type="dxa"/>
            <w:shd w:val="clear" w:color="auto" w:fill="F3F3F3"/>
          </w:tcPr>
          <w:p w14:paraId="224D6411" w14:textId="77777777" w:rsidR="00114BC1" w:rsidRPr="00452C41" w:rsidRDefault="00114BC1" w:rsidP="005800CD">
            <w:pPr>
              <w:jc w:val="center"/>
              <w:rPr>
                <w:color w:val="000000"/>
                <w:sz w:val="20"/>
                <w:szCs w:val="20"/>
              </w:rPr>
            </w:pPr>
            <w:r w:rsidRPr="00452C41">
              <w:rPr>
                <w:color w:val="000000"/>
                <w:sz w:val="20"/>
                <w:szCs w:val="20"/>
              </w:rPr>
              <w:t>&lt;0.001</w:t>
            </w:r>
          </w:p>
        </w:tc>
        <w:tc>
          <w:tcPr>
            <w:tcW w:w="1620" w:type="dxa"/>
            <w:shd w:val="clear" w:color="auto" w:fill="F3F3F3"/>
          </w:tcPr>
          <w:p w14:paraId="0E049886" w14:textId="77777777" w:rsidR="00114BC1" w:rsidRPr="00452C41" w:rsidRDefault="00114BC1" w:rsidP="005800CD">
            <w:pPr>
              <w:jc w:val="center"/>
              <w:rPr>
                <w:rFonts w:eastAsia="Calibri"/>
                <w:sz w:val="20"/>
                <w:szCs w:val="20"/>
              </w:rPr>
            </w:pPr>
            <w:r w:rsidRPr="00452C41">
              <w:rPr>
                <w:color w:val="000000"/>
                <w:sz w:val="20"/>
                <w:szCs w:val="20"/>
              </w:rPr>
              <w:t>5 (16)</w:t>
            </w:r>
          </w:p>
        </w:tc>
        <w:tc>
          <w:tcPr>
            <w:tcW w:w="630" w:type="dxa"/>
            <w:shd w:val="clear" w:color="auto" w:fill="F3F3F3"/>
          </w:tcPr>
          <w:p w14:paraId="615C16EF" w14:textId="77777777" w:rsidR="00114BC1" w:rsidRPr="00452C41" w:rsidRDefault="00114BC1" w:rsidP="005800CD">
            <w:pPr>
              <w:jc w:val="center"/>
              <w:rPr>
                <w:color w:val="000000"/>
                <w:sz w:val="20"/>
                <w:szCs w:val="20"/>
              </w:rPr>
            </w:pPr>
            <w:r w:rsidRPr="00452C41">
              <w:rPr>
                <w:color w:val="000000"/>
                <w:sz w:val="20"/>
                <w:szCs w:val="20"/>
              </w:rPr>
              <w:t>0.75</w:t>
            </w:r>
          </w:p>
        </w:tc>
        <w:tc>
          <w:tcPr>
            <w:tcW w:w="1670" w:type="dxa"/>
            <w:shd w:val="clear" w:color="auto" w:fill="F3F3F3"/>
          </w:tcPr>
          <w:p w14:paraId="24E8A8E4" w14:textId="77777777" w:rsidR="00114BC1" w:rsidRPr="00452C41" w:rsidRDefault="00114BC1" w:rsidP="005800CD">
            <w:pPr>
              <w:jc w:val="center"/>
              <w:rPr>
                <w:color w:val="000000"/>
                <w:sz w:val="20"/>
                <w:szCs w:val="20"/>
              </w:rPr>
            </w:pPr>
            <w:r w:rsidRPr="00452C41">
              <w:rPr>
                <w:color w:val="000000"/>
                <w:sz w:val="20"/>
                <w:szCs w:val="20"/>
              </w:rPr>
              <w:t>–16 (13)</w:t>
            </w:r>
          </w:p>
        </w:tc>
        <w:tc>
          <w:tcPr>
            <w:tcW w:w="717" w:type="dxa"/>
            <w:shd w:val="clear" w:color="auto" w:fill="F3F3F3"/>
          </w:tcPr>
          <w:p w14:paraId="0CA3F30C" w14:textId="77777777" w:rsidR="00114BC1" w:rsidRPr="00452C41" w:rsidRDefault="00114BC1" w:rsidP="005800CD">
            <w:pPr>
              <w:jc w:val="center"/>
              <w:rPr>
                <w:color w:val="000000"/>
                <w:sz w:val="20"/>
                <w:szCs w:val="20"/>
              </w:rPr>
            </w:pPr>
            <w:r w:rsidRPr="00452C41">
              <w:rPr>
                <w:color w:val="000000"/>
                <w:sz w:val="20"/>
                <w:szCs w:val="20"/>
              </w:rPr>
              <w:t>0.001</w:t>
            </w:r>
          </w:p>
        </w:tc>
      </w:tr>
      <w:tr w:rsidR="00114BC1" w:rsidRPr="00452C41" w14:paraId="78B3E1A7" w14:textId="77777777" w:rsidTr="005800CD">
        <w:tc>
          <w:tcPr>
            <w:tcW w:w="3082" w:type="dxa"/>
            <w:shd w:val="clear" w:color="auto" w:fill="auto"/>
          </w:tcPr>
          <w:p w14:paraId="58804787" w14:textId="77777777" w:rsidR="00114BC1" w:rsidRPr="00452C41" w:rsidRDefault="00114BC1" w:rsidP="005800CD">
            <w:pPr>
              <w:rPr>
                <w:rFonts w:eastAsia="Calibri"/>
                <w:b/>
                <w:sz w:val="20"/>
                <w:szCs w:val="20"/>
              </w:rPr>
            </w:pPr>
            <w:r w:rsidRPr="00452C41">
              <w:rPr>
                <w:b/>
                <w:sz w:val="20"/>
                <w:szCs w:val="20"/>
              </w:rPr>
              <w:t>Body Weight and Composition</w:t>
            </w:r>
          </w:p>
        </w:tc>
        <w:tc>
          <w:tcPr>
            <w:tcW w:w="1706" w:type="dxa"/>
            <w:shd w:val="clear" w:color="auto" w:fill="auto"/>
          </w:tcPr>
          <w:p w14:paraId="4C44ED98" w14:textId="77777777" w:rsidR="00114BC1" w:rsidRPr="00452C41" w:rsidRDefault="00114BC1" w:rsidP="005800CD">
            <w:pPr>
              <w:jc w:val="center"/>
              <w:rPr>
                <w:rFonts w:eastAsia="Calibri"/>
                <w:sz w:val="20"/>
                <w:szCs w:val="20"/>
              </w:rPr>
            </w:pPr>
          </w:p>
        </w:tc>
        <w:tc>
          <w:tcPr>
            <w:tcW w:w="834" w:type="dxa"/>
          </w:tcPr>
          <w:p w14:paraId="0B5BBB1C" w14:textId="77777777" w:rsidR="00114BC1" w:rsidRPr="00452C41" w:rsidRDefault="00114BC1" w:rsidP="005800CD">
            <w:pPr>
              <w:jc w:val="center"/>
              <w:rPr>
                <w:rFonts w:eastAsia="Calibri"/>
                <w:sz w:val="20"/>
                <w:szCs w:val="20"/>
              </w:rPr>
            </w:pPr>
          </w:p>
        </w:tc>
        <w:tc>
          <w:tcPr>
            <w:tcW w:w="1620" w:type="dxa"/>
            <w:shd w:val="clear" w:color="auto" w:fill="auto"/>
          </w:tcPr>
          <w:p w14:paraId="5925E14F" w14:textId="77777777" w:rsidR="00114BC1" w:rsidRPr="00452C41" w:rsidRDefault="00114BC1" w:rsidP="005800CD">
            <w:pPr>
              <w:jc w:val="center"/>
              <w:rPr>
                <w:rFonts w:eastAsia="Calibri"/>
                <w:sz w:val="20"/>
                <w:szCs w:val="20"/>
              </w:rPr>
            </w:pPr>
          </w:p>
        </w:tc>
        <w:tc>
          <w:tcPr>
            <w:tcW w:w="630" w:type="dxa"/>
          </w:tcPr>
          <w:p w14:paraId="1D41801F" w14:textId="77777777" w:rsidR="00114BC1" w:rsidRPr="00452C41" w:rsidRDefault="00114BC1" w:rsidP="005800CD">
            <w:pPr>
              <w:jc w:val="center"/>
              <w:rPr>
                <w:rFonts w:eastAsia="Calibri"/>
                <w:sz w:val="20"/>
                <w:szCs w:val="20"/>
              </w:rPr>
            </w:pPr>
          </w:p>
        </w:tc>
        <w:tc>
          <w:tcPr>
            <w:tcW w:w="1670" w:type="dxa"/>
          </w:tcPr>
          <w:p w14:paraId="74DCF8BB" w14:textId="77777777" w:rsidR="00114BC1" w:rsidRPr="00452C41" w:rsidRDefault="00114BC1" w:rsidP="005800CD">
            <w:pPr>
              <w:jc w:val="center"/>
              <w:rPr>
                <w:rFonts w:eastAsia="Calibri"/>
                <w:sz w:val="20"/>
                <w:szCs w:val="20"/>
              </w:rPr>
            </w:pPr>
          </w:p>
        </w:tc>
        <w:tc>
          <w:tcPr>
            <w:tcW w:w="717" w:type="dxa"/>
          </w:tcPr>
          <w:p w14:paraId="5C3F051C" w14:textId="77777777" w:rsidR="00114BC1" w:rsidRPr="00452C41" w:rsidRDefault="00114BC1" w:rsidP="005800CD">
            <w:pPr>
              <w:jc w:val="center"/>
              <w:rPr>
                <w:rFonts w:eastAsia="Calibri"/>
                <w:sz w:val="20"/>
                <w:szCs w:val="20"/>
              </w:rPr>
            </w:pPr>
          </w:p>
        </w:tc>
      </w:tr>
      <w:tr w:rsidR="00114BC1" w:rsidRPr="00452C41" w14:paraId="332DF2C7" w14:textId="77777777" w:rsidTr="005800CD">
        <w:tc>
          <w:tcPr>
            <w:tcW w:w="3082" w:type="dxa"/>
            <w:shd w:val="clear" w:color="auto" w:fill="F3F3F3"/>
          </w:tcPr>
          <w:p w14:paraId="27E4C5BF" w14:textId="77777777" w:rsidR="00114BC1" w:rsidRPr="00452C41" w:rsidRDefault="00114BC1" w:rsidP="005800CD">
            <w:pPr>
              <w:rPr>
                <w:rFonts w:eastAsia="Calibri"/>
                <w:sz w:val="20"/>
                <w:szCs w:val="20"/>
              </w:rPr>
            </w:pPr>
            <w:r w:rsidRPr="00452C41">
              <w:rPr>
                <w:sz w:val="20"/>
                <w:szCs w:val="20"/>
              </w:rPr>
              <w:t xml:space="preserve">   Weight, kg</w:t>
            </w:r>
          </w:p>
        </w:tc>
        <w:tc>
          <w:tcPr>
            <w:tcW w:w="1706" w:type="dxa"/>
            <w:shd w:val="clear" w:color="auto" w:fill="F3F3F3"/>
          </w:tcPr>
          <w:p w14:paraId="0E82F074" w14:textId="77777777" w:rsidR="00114BC1" w:rsidRPr="00452C41" w:rsidRDefault="00114BC1" w:rsidP="005800CD">
            <w:pPr>
              <w:jc w:val="center"/>
              <w:rPr>
                <w:rFonts w:eastAsia="Calibri"/>
                <w:sz w:val="20"/>
                <w:szCs w:val="20"/>
              </w:rPr>
            </w:pPr>
            <w:r w:rsidRPr="00452C41">
              <w:rPr>
                <w:color w:val="000000"/>
                <w:sz w:val="20"/>
                <w:szCs w:val="20"/>
              </w:rPr>
              <w:t>1 (2)</w:t>
            </w:r>
          </w:p>
        </w:tc>
        <w:tc>
          <w:tcPr>
            <w:tcW w:w="834" w:type="dxa"/>
            <w:shd w:val="clear" w:color="auto" w:fill="F3F3F3"/>
          </w:tcPr>
          <w:p w14:paraId="504F513B" w14:textId="77777777" w:rsidR="00114BC1" w:rsidRPr="00452C41" w:rsidRDefault="00114BC1" w:rsidP="005800CD">
            <w:pPr>
              <w:jc w:val="center"/>
              <w:rPr>
                <w:color w:val="000000"/>
                <w:sz w:val="20"/>
                <w:szCs w:val="20"/>
              </w:rPr>
            </w:pPr>
            <w:r w:rsidRPr="00452C41">
              <w:rPr>
                <w:color w:val="000000"/>
                <w:sz w:val="20"/>
                <w:szCs w:val="20"/>
              </w:rPr>
              <w:t>0.25</w:t>
            </w:r>
          </w:p>
        </w:tc>
        <w:tc>
          <w:tcPr>
            <w:tcW w:w="1620" w:type="dxa"/>
            <w:shd w:val="clear" w:color="auto" w:fill="F3F3F3"/>
          </w:tcPr>
          <w:p w14:paraId="0DEC1C07" w14:textId="77777777" w:rsidR="00114BC1" w:rsidRPr="00452C41" w:rsidRDefault="00114BC1" w:rsidP="005800CD">
            <w:pPr>
              <w:jc w:val="center"/>
              <w:rPr>
                <w:rFonts w:eastAsia="Calibri"/>
                <w:sz w:val="20"/>
                <w:szCs w:val="20"/>
              </w:rPr>
            </w:pPr>
            <w:r w:rsidRPr="00452C41">
              <w:rPr>
                <w:color w:val="000000"/>
                <w:sz w:val="20"/>
                <w:szCs w:val="20"/>
              </w:rPr>
              <w:t>0 (2)</w:t>
            </w:r>
          </w:p>
        </w:tc>
        <w:tc>
          <w:tcPr>
            <w:tcW w:w="630" w:type="dxa"/>
            <w:shd w:val="clear" w:color="auto" w:fill="F3F3F3"/>
          </w:tcPr>
          <w:p w14:paraId="35FBF8FB" w14:textId="77777777" w:rsidR="00114BC1" w:rsidRPr="00452C41" w:rsidRDefault="00114BC1" w:rsidP="005800CD">
            <w:pPr>
              <w:jc w:val="center"/>
              <w:rPr>
                <w:color w:val="000000"/>
                <w:sz w:val="20"/>
                <w:szCs w:val="20"/>
              </w:rPr>
            </w:pPr>
            <w:r w:rsidRPr="00452C41">
              <w:rPr>
                <w:color w:val="000000"/>
                <w:sz w:val="20"/>
                <w:szCs w:val="20"/>
              </w:rPr>
              <w:t>0.23</w:t>
            </w:r>
          </w:p>
        </w:tc>
        <w:tc>
          <w:tcPr>
            <w:tcW w:w="1670" w:type="dxa"/>
            <w:shd w:val="clear" w:color="auto" w:fill="F3F3F3"/>
          </w:tcPr>
          <w:p w14:paraId="1E8B971E" w14:textId="77777777" w:rsidR="00114BC1" w:rsidRPr="00452C41" w:rsidRDefault="00114BC1" w:rsidP="005800CD">
            <w:pPr>
              <w:jc w:val="center"/>
              <w:rPr>
                <w:color w:val="000000"/>
                <w:sz w:val="20"/>
                <w:szCs w:val="20"/>
              </w:rPr>
            </w:pPr>
            <w:r w:rsidRPr="00452C41">
              <w:rPr>
                <w:color w:val="000000"/>
                <w:sz w:val="20"/>
                <w:szCs w:val="20"/>
              </w:rPr>
              <w:t>0 (2)</w:t>
            </w:r>
          </w:p>
        </w:tc>
        <w:tc>
          <w:tcPr>
            <w:tcW w:w="717" w:type="dxa"/>
            <w:shd w:val="clear" w:color="auto" w:fill="F3F3F3"/>
          </w:tcPr>
          <w:p w14:paraId="6C311CE2" w14:textId="77777777" w:rsidR="00114BC1" w:rsidRPr="00452C41" w:rsidRDefault="00114BC1" w:rsidP="005800CD">
            <w:pPr>
              <w:jc w:val="center"/>
              <w:rPr>
                <w:color w:val="000000"/>
                <w:sz w:val="20"/>
                <w:szCs w:val="20"/>
              </w:rPr>
            </w:pPr>
            <w:r w:rsidRPr="00452C41">
              <w:rPr>
                <w:color w:val="000000"/>
                <w:sz w:val="20"/>
                <w:szCs w:val="20"/>
              </w:rPr>
              <w:t>0.87</w:t>
            </w:r>
          </w:p>
        </w:tc>
      </w:tr>
      <w:tr w:rsidR="00114BC1" w:rsidRPr="00452C41" w14:paraId="6D8DB740" w14:textId="77777777" w:rsidTr="005800CD">
        <w:tc>
          <w:tcPr>
            <w:tcW w:w="3082" w:type="dxa"/>
            <w:shd w:val="clear" w:color="auto" w:fill="auto"/>
          </w:tcPr>
          <w:p w14:paraId="04C78CB2" w14:textId="77777777" w:rsidR="00114BC1" w:rsidRPr="00452C41" w:rsidRDefault="00114BC1" w:rsidP="005800CD">
            <w:pPr>
              <w:rPr>
                <w:rFonts w:eastAsia="Calibri"/>
                <w:sz w:val="20"/>
                <w:szCs w:val="20"/>
              </w:rPr>
            </w:pPr>
            <w:r w:rsidRPr="00452C41">
              <w:rPr>
                <w:sz w:val="20"/>
                <w:szCs w:val="20"/>
              </w:rPr>
              <w:t xml:space="preserve">   Lean body mass, %</w:t>
            </w:r>
          </w:p>
        </w:tc>
        <w:tc>
          <w:tcPr>
            <w:tcW w:w="1706" w:type="dxa"/>
            <w:shd w:val="clear" w:color="auto" w:fill="auto"/>
          </w:tcPr>
          <w:p w14:paraId="766D3851" w14:textId="77777777" w:rsidR="00114BC1" w:rsidRPr="00452C41" w:rsidRDefault="00114BC1" w:rsidP="005800CD">
            <w:pPr>
              <w:jc w:val="center"/>
              <w:rPr>
                <w:rFonts w:eastAsia="Calibri"/>
                <w:sz w:val="20"/>
                <w:szCs w:val="20"/>
              </w:rPr>
            </w:pPr>
            <w:r w:rsidRPr="00452C41">
              <w:rPr>
                <w:color w:val="000000"/>
                <w:sz w:val="20"/>
                <w:szCs w:val="20"/>
              </w:rPr>
              <w:t>–2 (3)</w:t>
            </w:r>
          </w:p>
        </w:tc>
        <w:tc>
          <w:tcPr>
            <w:tcW w:w="834" w:type="dxa"/>
          </w:tcPr>
          <w:p w14:paraId="57166958" w14:textId="77777777" w:rsidR="00114BC1" w:rsidRPr="00452C41" w:rsidRDefault="00114BC1" w:rsidP="005800CD">
            <w:pPr>
              <w:jc w:val="center"/>
              <w:rPr>
                <w:color w:val="000000"/>
                <w:sz w:val="20"/>
                <w:szCs w:val="20"/>
              </w:rPr>
            </w:pPr>
            <w:r w:rsidRPr="00452C41">
              <w:rPr>
                <w:color w:val="000000"/>
                <w:sz w:val="20"/>
                <w:szCs w:val="20"/>
              </w:rPr>
              <w:t>0.01</w:t>
            </w:r>
          </w:p>
        </w:tc>
        <w:tc>
          <w:tcPr>
            <w:tcW w:w="1620" w:type="dxa"/>
            <w:shd w:val="clear" w:color="auto" w:fill="auto"/>
          </w:tcPr>
          <w:p w14:paraId="11D440CB" w14:textId="77777777" w:rsidR="00114BC1" w:rsidRPr="00452C41" w:rsidRDefault="00114BC1" w:rsidP="005800CD">
            <w:pPr>
              <w:jc w:val="center"/>
              <w:rPr>
                <w:rFonts w:eastAsia="Calibri"/>
                <w:sz w:val="20"/>
                <w:szCs w:val="20"/>
              </w:rPr>
            </w:pPr>
            <w:r w:rsidRPr="00452C41">
              <w:rPr>
                <w:color w:val="000000"/>
                <w:sz w:val="20"/>
                <w:szCs w:val="20"/>
              </w:rPr>
              <w:t>0 (3)</w:t>
            </w:r>
          </w:p>
        </w:tc>
        <w:tc>
          <w:tcPr>
            <w:tcW w:w="630" w:type="dxa"/>
          </w:tcPr>
          <w:p w14:paraId="16C66DD6" w14:textId="77777777" w:rsidR="00114BC1" w:rsidRPr="00452C41" w:rsidRDefault="00114BC1" w:rsidP="005800CD">
            <w:pPr>
              <w:jc w:val="center"/>
              <w:rPr>
                <w:color w:val="000000"/>
                <w:sz w:val="20"/>
                <w:szCs w:val="20"/>
              </w:rPr>
            </w:pPr>
            <w:r w:rsidRPr="00452C41">
              <w:rPr>
                <w:color w:val="000000"/>
                <w:sz w:val="20"/>
                <w:szCs w:val="20"/>
              </w:rPr>
              <w:t>0.62</w:t>
            </w:r>
          </w:p>
        </w:tc>
        <w:tc>
          <w:tcPr>
            <w:tcW w:w="1670" w:type="dxa"/>
          </w:tcPr>
          <w:p w14:paraId="55706629" w14:textId="77777777" w:rsidR="00114BC1" w:rsidRPr="00452C41" w:rsidRDefault="00114BC1" w:rsidP="005800CD">
            <w:pPr>
              <w:jc w:val="center"/>
              <w:rPr>
                <w:color w:val="000000"/>
                <w:sz w:val="20"/>
                <w:szCs w:val="20"/>
              </w:rPr>
            </w:pPr>
            <w:r w:rsidRPr="00452C41">
              <w:rPr>
                <w:color w:val="000000"/>
                <w:sz w:val="20"/>
                <w:szCs w:val="20"/>
              </w:rPr>
              <w:t>–2 (3)</w:t>
            </w:r>
          </w:p>
        </w:tc>
        <w:tc>
          <w:tcPr>
            <w:tcW w:w="717" w:type="dxa"/>
          </w:tcPr>
          <w:p w14:paraId="540C0E4E" w14:textId="77777777" w:rsidR="00114BC1" w:rsidRPr="00452C41" w:rsidRDefault="00114BC1" w:rsidP="005800CD">
            <w:pPr>
              <w:jc w:val="center"/>
              <w:rPr>
                <w:color w:val="000000"/>
                <w:sz w:val="20"/>
                <w:szCs w:val="20"/>
              </w:rPr>
            </w:pPr>
            <w:r w:rsidRPr="00452C41">
              <w:rPr>
                <w:color w:val="000000"/>
                <w:sz w:val="20"/>
                <w:szCs w:val="20"/>
              </w:rPr>
              <w:t>0.04</w:t>
            </w:r>
          </w:p>
        </w:tc>
      </w:tr>
      <w:tr w:rsidR="00114BC1" w:rsidRPr="00452C41" w14:paraId="0ADC8D0B" w14:textId="77777777" w:rsidTr="005800CD">
        <w:tc>
          <w:tcPr>
            <w:tcW w:w="3082" w:type="dxa"/>
            <w:shd w:val="clear" w:color="auto" w:fill="F3F3F3"/>
          </w:tcPr>
          <w:p w14:paraId="70BC082F" w14:textId="77777777" w:rsidR="00114BC1" w:rsidRPr="00452C41" w:rsidRDefault="00114BC1" w:rsidP="005800CD">
            <w:pPr>
              <w:rPr>
                <w:rFonts w:eastAsia="Calibri"/>
                <w:sz w:val="20"/>
                <w:szCs w:val="20"/>
              </w:rPr>
            </w:pPr>
            <w:r w:rsidRPr="00452C41">
              <w:rPr>
                <w:sz w:val="20"/>
                <w:szCs w:val="20"/>
              </w:rPr>
              <w:t xml:space="preserve">   Fat mass, %</w:t>
            </w:r>
          </w:p>
        </w:tc>
        <w:tc>
          <w:tcPr>
            <w:tcW w:w="1706" w:type="dxa"/>
            <w:shd w:val="clear" w:color="auto" w:fill="F3F3F3"/>
          </w:tcPr>
          <w:p w14:paraId="7892EFAD" w14:textId="77777777" w:rsidR="00114BC1" w:rsidRPr="00452C41" w:rsidRDefault="00114BC1" w:rsidP="005800CD">
            <w:pPr>
              <w:jc w:val="center"/>
              <w:rPr>
                <w:rFonts w:eastAsia="Calibri"/>
                <w:sz w:val="20"/>
                <w:szCs w:val="20"/>
              </w:rPr>
            </w:pPr>
            <w:r w:rsidRPr="00452C41">
              <w:rPr>
                <w:color w:val="000000"/>
                <w:sz w:val="20"/>
                <w:szCs w:val="20"/>
              </w:rPr>
              <w:t>2 (3)</w:t>
            </w:r>
          </w:p>
        </w:tc>
        <w:tc>
          <w:tcPr>
            <w:tcW w:w="834" w:type="dxa"/>
            <w:shd w:val="clear" w:color="auto" w:fill="F3F3F3"/>
          </w:tcPr>
          <w:p w14:paraId="3801C2C0" w14:textId="77777777" w:rsidR="00114BC1" w:rsidRPr="00452C41" w:rsidRDefault="00114BC1" w:rsidP="005800CD">
            <w:pPr>
              <w:jc w:val="center"/>
              <w:rPr>
                <w:color w:val="000000"/>
                <w:sz w:val="20"/>
                <w:szCs w:val="20"/>
              </w:rPr>
            </w:pPr>
            <w:r w:rsidRPr="00452C41">
              <w:rPr>
                <w:color w:val="000000"/>
                <w:sz w:val="20"/>
                <w:szCs w:val="20"/>
              </w:rPr>
              <w:t>0.01</w:t>
            </w:r>
          </w:p>
        </w:tc>
        <w:tc>
          <w:tcPr>
            <w:tcW w:w="1620" w:type="dxa"/>
            <w:shd w:val="clear" w:color="auto" w:fill="F3F3F3"/>
          </w:tcPr>
          <w:p w14:paraId="3698FFD1" w14:textId="77777777" w:rsidR="00114BC1" w:rsidRPr="00452C41" w:rsidRDefault="00114BC1" w:rsidP="005800CD">
            <w:pPr>
              <w:jc w:val="center"/>
              <w:rPr>
                <w:rFonts w:eastAsia="Calibri"/>
                <w:sz w:val="20"/>
                <w:szCs w:val="20"/>
              </w:rPr>
            </w:pPr>
            <w:r w:rsidRPr="00452C41">
              <w:rPr>
                <w:color w:val="000000"/>
                <w:sz w:val="20"/>
                <w:szCs w:val="20"/>
              </w:rPr>
              <w:t>0 (3)</w:t>
            </w:r>
          </w:p>
        </w:tc>
        <w:tc>
          <w:tcPr>
            <w:tcW w:w="630" w:type="dxa"/>
            <w:shd w:val="clear" w:color="auto" w:fill="F3F3F3"/>
          </w:tcPr>
          <w:p w14:paraId="269AB404" w14:textId="77777777" w:rsidR="00114BC1" w:rsidRPr="00452C41" w:rsidRDefault="00114BC1" w:rsidP="005800CD">
            <w:pPr>
              <w:jc w:val="center"/>
              <w:rPr>
                <w:color w:val="000000"/>
                <w:sz w:val="20"/>
                <w:szCs w:val="20"/>
              </w:rPr>
            </w:pPr>
            <w:r w:rsidRPr="00452C41">
              <w:rPr>
                <w:color w:val="000000"/>
                <w:sz w:val="20"/>
                <w:szCs w:val="20"/>
              </w:rPr>
              <w:t>0.62</w:t>
            </w:r>
          </w:p>
        </w:tc>
        <w:tc>
          <w:tcPr>
            <w:tcW w:w="1670" w:type="dxa"/>
            <w:shd w:val="clear" w:color="auto" w:fill="F3F3F3"/>
          </w:tcPr>
          <w:p w14:paraId="17F8D50C" w14:textId="77777777" w:rsidR="00114BC1" w:rsidRPr="00452C41" w:rsidRDefault="00114BC1" w:rsidP="005800CD">
            <w:pPr>
              <w:jc w:val="center"/>
              <w:rPr>
                <w:color w:val="000000"/>
                <w:sz w:val="20"/>
                <w:szCs w:val="20"/>
              </w:rPr>
            </w:pPr>
            <w:r w:rsidRPr="00452C41">
              <w:rPr>
                <w:color w:val="000000"/>
                <w:sz w:val="20"/>
                <w:szCs w:val="20"/>
              </w:rPr>
              <w:t>2 (3)</w:t>
            </w:r>
          </w:p>
        </w:tc>
        <w:tc>
          <w:tcPr>
            <w:tcW w:w="717" w:type="dxa"/>
            <w:shd w:val="clear" w:color="auto" w:fill="F3F3F3"/>
          </w:tcPr>
          <w:p w14:paraId="4011EDCC" w14:textId="77777777" w:rsidR="00114BC1" w:rsidRPr="00452C41" w:rsidRDefault="00114BC1" w:rsidP="005800CD">
            <w:pPr>
              <w:jc w:val="center"/>
              <w:rPr>
                <w:color w:val="000000"/>
                <w:sz w:val="20"/>
                <w:szCs w:val="20"/>
              </w:rPr>
            </w:pPr>
            <w:r w:rsidRPr="00452C41">
              <w:rPr>
                <w:color w:val="000000"/>
                <w:sz w:val="20"/>
                <w:szCs w:val="20"/>
              </w:rPr>
              <w:t>0.04</w:t>
            </w:r>
          </w:p>
        </w:tc>
      </w:tr>
    </w:tbl>
    <w:p w14:paraId="4A1BA1FB" w14:textId="77777777" w:rsidR="00114BC1" w:rsidRPr="00452C41" w:rsidRDefault="00114BC1" w:rsidP="00114BC1">
      <w:pPr>
        <w:rPr>
          <w:rFonts w:eastAsia="Calibri"/>
          <w:sz w:val="20"/>
          <w:szCs w:val="20"/>
        </w:rPr>
      </w:pPr>
    </w:p>
    <w:p w14:paraId="212202DC" w14:textId="77777777" w:rsidR="00114BC1" w:rsidRPr="00452C41" w:rsidRDefault="00114BC1" w:rsidP="00114BC1">
      <w:pPr>
        <w:rPr>
          <w:sz w:val="20"/>
          <w:szCs w:val="20"/>
        </w:rPr>
      </w:pPr>
      <w:r w:rsidRPr="00452C41">
        <w:rPr>
          <w:bCs/>
          <w:sz w:val="20"/>
          <w:szCs w:val="20"/>
        </w:rPr>
        <w:t xml:space="preserve">§Wilcoxon rank sum P value for delta change between groups from baseline to week 17. </w:t>
      </w:r>
    </w:p>
    <w:p w14:paraId="30D4823F" w14:textId="77777777" w:rsidR="00114BC1" w:rsidRDefault="00114BC1" w:rsidP="00114BC1">
      <w:pPr>
        <w:jc w:val="both"/>
        <w:rPr>
          <w:sz w:val="20"/>
          <w:szCs w:val="20"/>
        </w:rPr>
      </w:pPr>
      <w:r w:rsidRPr="00452C41">
        <w:rPr>
          <w:b/>
          <w:bCs/>
          <w:sz w:val="20"/>
          <w:szCs w:val="20"/>
        </w:rPr>
        <w:t xml:space="preserve">Abbreviations: </w:t>
      </w:r>
      <w:r w:rsidRPr="00452C41">
        <w:rPr>
          <w:sz w:val="20"/>
          <w:szCs w:val="20"/>
        </w:rPr>
        <w:t xml:space="preserve">AC, attention control, AT, aerobic training; RT, resistance training; CT, combination training. </w:t>
      </w:r>
      <w:bookmarkStart w:id="12" w:name="_Hlk29989572"/>
      <w:r w:rsidRPr="00452C41">
        <w:rPr>
          <w:sz w:val="20"/>
          <w:szCs w:val="20"/>
        </w:rPr>
        <w:t>FACT-L, Functional Assessment of Cancer Therapy-lung, FACT-G, Functional Assessment of Cancer Therapy-general; FACIT, Functional Assessment of Chronic Illness Therapy.</w:t>
      </w:r>
      <w:bookmarkEnd w:id="12"/>
    </w:p>
    <w:p w14:paraId="07707795" w14:textId="77777777" w:rsidR="00114BC1" w:rsidRDefault="00114BC1">
      <w:pPr>
        <w:rPr>
          <w:b/>
          <w:sz w:val="20"/>
          <w:szCs w:val="20"/>
        </w:rPr>
      </w:pPr>
      <w:r>
        <w:rPr>
          <w:b/>
          <w:sz w:val="20"/>
          <w:szCs w:val="20"/>
        </w:rPr>
        <w:br w:type="page"/>
      </w:r>
    </w:p>
    <w:p w14:paraId="2B6FB875" w14:textId="61332CA8" w:rsidR="00997063" w:rsidRPr="00452C41" w:rsidRDefault="00997063" w:rsidP="00997063">
      <w:pPr>
        <w:rPr>
          <w:b/>
          <w:sz w:val="20"/>
          <w:szCs w:val="20"/>
        </w:rPr>
      </w:pPr>
      <w:r>
        <w:rPr>
          <w:b/>
          <w:sz w:val="20"/>
          <w:szCs w:val="20"/>
        </w:rPr>
        <w:lastRenderedPageBreak/>
        <w:t>Supplementary</w:t>
      </w:r>
      <w:r w:rsidRPr="00452C41">
        <w:rPr>
          <w:b/>
          <w:sz w:val="20"/>
          <w:szCs w:val="20"/>
        </w:rPr>
        <w:t xml:space="preserve"> Table </w:t>
      </w:r>
      <w:r w:rsidR="00114BC1">
        <w:rPr>
          <w:b/>
          <w:sz w:val="20"/>
          <w:szCs w:val="20"/>
        </w:rPr>
        <w:t>3</w:t>
      </w:r>
      <w:r w:rsidRPr="00452C41">
        <w:rPr>
          <w:b/>
          <w:sz w:val="20"/>
          <w:szCs w:val="20"/>
        </w:rPr>
        <w:t xml:space="preserve">. </w:t>
      </w:r>
      <w:r>
        <w:rPr>
          <w:sz w:val="20"/>
          <w:szCs w:val="20"/>
        </w:rPr>
        <w:t>Reasons for Exercise D</w:t>
      </w:r>
      <w:r w:rsidRPr="00B61FA3">
        <w:rPr>
          <w:sz w:val="20"/>
          <w:szCs w:val="20"/>
        </w:rPr>
        <w:t xml:space="preserve">ose </w:t>
      </w:r>
      <w:r>
        <w:rPr>
          <w:sz w:val="20"/>
          <w:szCs w:val="20"/>
        </w:rPr>
        <w:t>M</w:t>
      </w:r>
      <w:r w:rsidRPr="00B61FA3">
        <w:rPr>
          <w:sz w:val="20"/>
          <w:szCs w:val="20"/>
        </w:rPr>
        <w:t>odifications</w:t>
      </w:r>
    </w:p>
    <w:p w14:paraId="78043B64" w14:textId="77777777" w:rsidR="00997063" w:rsidRPr="00452C41" w:rsidRDefault="00997063" w:rsidP="00997063">
      <w:pPr>
        <w:rPr>
          <w:b/>
          <w:sz w:val="20"/>
          <w:szCs w:val="20"/>
        </w:rPr>
      </w:pPr>
    </w:p>
    <w:tbl>
      <w:tblPr>
        <w:tblStyle w:val="PlainTable43"/>
        <w:tblW w:w="2813" w:type="pct"/>
        <w:tblLayout w:type="fixed"/>
        <w:tblLook w:val="04A0" w:firstRow="1" w:lastRow="0" w:firstColumn="1" w:lastColumn="0" w:noHBand="0" w:noVBand="1"/>
      </w:tblPr>
      <w:tblGrid>
        <w:gridCol w:w="4140"/>
        <w:gridCol w:w="1209"/>
        <w:gridCol w:w="238"/>
        <w:gridCol w:w="1097"/>
        <w:gridCol w:w="237"/>
        <w:gridCol w:w="1180"/>
      </w:tblGrid>
      <w:tr w:rsidR="00997063" w:rsidRPr="00452C41" w14:paraId="636DC530" w14:textId="77777777" w:rsidTr="00A07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pct"/>
            <w:tcBorders>
              <w:top w:val="single" w:sz="4" w:space="0" w:color="auto"/>
              <w:bottom w:val="single" w:sz="4" w:space="0" w:color="auto"/>
            </w:tcBorders>
          </w:tcPr>
          <w:p w14:paraId="556751D4" w14:textId="77777777" w:rsidR="00997063" w:rsidRPr="00452C41" w:rsidRDefault="00997063" w:rsidP="00A07985">
            <w:pPr>
              <w:rPr>
                <w:b w:val="0"/>
                <w:sz w:val="20"/>
                <w:szCs w:val="20"/>
              </w:rPr>
            </w:pPr>
            <w:bookmarkStart w:id="13" w:name="_Hlk72146432"/>
          </w:p>
          <w:p w14:paraId="77BB1E6F" w14:textId="77777777" w:rsidR="00997063" w:rsidRPr="00452C41" w:rsidRDefault="00997063" w:rsidP="00A07985">
            <w:pPr>
              <w:rPr>
                <w:sz w:val="20"/>
                <w:szCs w:val="20"/>
              </w:rPr>
            </w:pPr>
            <w:r>
              <w:rPr>
                <w:sz w:val="20"/>
                <w:szCs w:val="20"/>
              </w:rPr>
              <w:t>Dose Modification</w:t>
            </w:r>
          </w:p>
        </w:tc>
        <w:tc>
          <w:tcPr>
            <w:tcW w:w="746" w:type="pct"/>
            <w:tcBorders>
              <w:top w:val="single" w:sz="4" w:space="0" w:color="auto"/>
              <w:bottom w:val="single" w:sz="4" w:space="0" w:color="auto"/>
            </w:tcBorders>
          </w:tcPr>
          <w:p w14:paraId="608B8228"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630D1FDB"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AT</w:t>
            </w:r>
          </w:p>
          <w:p w14:paraId="098C00E9"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(n=24)</w:t>
            </w:r>
          </w:p>
        </w:tc>
        <w:tc>
          <w:tcPr>
            <w:tcW w:w="147" w:type="pct"/>
            <w:tcBorders>
              <w:top w:val="single" w:sz="4" w:space="0" w:color="auto"/>
              <w:bottom w:val="single" w:sz="4" w:space="0" w:color="auto"/>
            </w:tcBorders>
          </w:tcPr>
          <w:p w14:paraId="5B0B90C8"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677" w:type="pct"/>
            <w:tcBorders>
              <w:top w:val="single" w:sz="4" w:space="0" w:color="auto"/>
              <w:bottom w:val="single" w:sz="4" w:space="0" w:color="auto"/>
            </w:tcBorders>
          </w:tcPr>
          <w:p w14:paraId="65BE33F4"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4CDBF5AD"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RT</w:t>
            </w:r>
          </w:p>
          <w:p w14:paraId="2D6CC61D"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(n=23)</w:t>
            </w:r>
          </w:p>
        </w:tc>
        <w:tc>
          <w:tcPr>
            <w:tcW w:w="146" w:type="pct"/>
            <w:tcBorders>
              <w:top w:val="single" w:sz="4" w:space="0" w:color="auto"/>
              <w:bottom w:val="single" w:sz="4" w:space="0" w:color="auto"/>
            </w:tcBorders>
          </w:tcPr>
          <w:p w14:paraId="40F91F53"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728" w:type="pct"/>
            <w:tcBorders>
              <w:top w:val="single" w:sz="4" w:space="0" w:color="auto"/>
              <w:bottom w:val="single" w:sz="4" w:space="0" w:color="auto"/>
            </w:tcBorders>
          </w:tcPr>
          <w:p w14:paraId="3033965C"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461C0DC8"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CT</w:t>
            </w:r>
          </w:p>
          <w:p w14:paraId="3D497AA3"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(n=20)</w:t>
            </w:r>
          </w:p>
          <w:p w14:paraId="46F295E8" w14:textId="77777777" w:rsidR="00997063" w:rsidRPr="00452C41" w:rsidRDefault="00997063" w:rsidP="00A07985">
            <w:pPr>
              <w:jc w:val="center"/>
              <w:cnfStyle w:val="100000000000" w:firstRow="1" w:lastRow="0" w:firstColumn="0" w:lastColumn="0" w:oddVBand="0" w:evenVBand="0" w:oddHBand="0" w:evenHBand="0" w:firstRowFirstColumn="0" w:firstRowLastColumn="0" w:lastRowFirstColumn="0" w:lastRowLastColumn="0"/>
              <w:rPr>
                <w:i/>
                <w:sz w:val="20"/>
                <w:szCs w:val="20"/>
              </w:rPr>
            </w:pPr>
          </w:p>
        </w:tc>
      </w:tr>
      <w:tr w:rsidR="00997063" w:rsidRPr="00452C41" w14:paraId="266122B9" w14:textId="77777777" w:rsidTr="00A07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pct"/>
            <w:tcBorders>
              <w:top w:val="single" w:sz="4" w:space="0" w:color="auto"/>
            </w:tcBorders>
            <w:vAlign w:val="bottom"/>
          </w:tcPr>
          <w:p w14:paraId="0532AF76" w14:textId="77777777" w:rsidR="00997063" w:rsidRPr="00A07985" w:rsidRDefault="00997063" w:rsidP="00A07985">
            <w:pPr>
              <w:rPr>
                <w:b w:val="0"/>
                <w:bCs w:val="0"/>
                <w:sz w:val="20"/>
                <w:szCs w:val="20"/>
              </w:rPr>
            </w:pPr>
            <w:r w:rsidRPr="00A07985">
              <w:rPr>
                <w:b w:val="0"/>
                <w:bCs w:val="0"/>
                <w:color w:val="000000"/>
                <w:sz w:val="20"/>
                <w:szCs w:val="20"/>
              </w:rPr>
              <w:t>Dizziness</w:t>
            </w:r>
          </w:p>
        </w:tc>
        <w:tc>
          <w:tcPr>
            <w:tcW w:w="746" w:type="pct"/>
            <w:tcBorders>
              <w:top w:val="single" w:sz="4" w:space="0" w:color="auto"/>
            </w:tcBorders>
          </w:tcPr>
          <w:p w14:paraId="0482005D"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Pr="00452C41">
              <w:rPr>
                <w:sz w:val="20"/>
                <w:szCs w:val="20"/>
              </w:rPr>
              <w:t xml:space="preserve"> (</w:t>
            </w:r>
            <w:r>
              <w:rPr>
                <w:sz w:val="20"/>
                <w:szCs w:val="20"/>
              </w:rPr>
              <w:t>0</w:t>
            </w:r>
            <w:r w:rsidRPr="00452C41">
              <w:rPr>
                <w:sz w:val="20"/>
                <w:szCs w:val="20"/>
              </w:rPr>
              <w:t>)</w:t>
            </w:r>
          </w:p>
        </w:tc>
        <w:tc>
          <w:tcPr>
            <w:tcW w:w="147" w:type="pct"/>
            <w:tcBorders>
              <w:top w:val="single" w:sz="4" w:space="0" w:color="auto"/>
            </w:tcBorders>
          </w:tcPr>
          <w:p w14:paraId="0A548FA2"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7" w:type="pct"/>
            <w:tcBorders>
              <w:top w:val="single" w:sz="4" w:space="0" w:color="auto"/>
            </w:tcBorders>
          </w:tcPr>
          <w:p w14:paraId="6916F4E5"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46" w:type="pct"/>
            <w:tcBorders>
              <w:top w:val="single" w:sz="4" w:space="0" w:color="auto"/>
            </w:tcBorders>
          </w:tcPr>
          <w:p w14:paraId="30BDD420"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28" w:type="pct"/>
            <w:tcBorders>
              <w:top w:val="single" w:sz="4" w:space="0" w:color="auto"/>
            </w:tcBorders>
          </w:tcPr>
          <w:p w14:paraId="7D7FAEC8"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Pr="00452C41">
              <w:rPr>
                <w:sz w:val="20"/>
                <w:szCs w:val="20"/>
              </w:rPr>
              <w:t xml:space="preserve"> (0</w:t>
            </w:r>
            <w:r>
              <w:rPr>
                <w:sz w:val="20"/>
                <w:szCs w:val="20"/>
              </w:rPr>
              <w:t>.1</w:t>
            </w:r>
            <w:r w:rsidRPr="00452C41">
              <w:rPr>
                <w:sz w:val="20"/>
                <w:szCs w:val="20"/>
              </w:rPr>
              <w:t>)</w:t>
            </w:r>
          </w:p>
        </w:tc>
      </w:tr>
      <w:tr w:rsidR="00997063" w:rsidRPr="00452C41" w14:paraId="22883C11" w14:textId="77777777" w:rsidTr="00A07985">
        <w:tc>
          <w:tcPr>
            <w:cnfStyle w:val="001000000000" w:firstRow="0" w:lastRow="0" w:firstColumn="1" w:lastColumn="0" w:oddVBand="0" w:evenVBand="0" w:oddHBand="0" w:evenHBand="0" w:firstRowFirstColumn="0" w:firstRowLastColumn="0" w:lastRowFirstColumn="0" w:lastRowLastColumn="0"/>
            <w:tcW w:w="2556" w:type="pct"/>
            <w:vAlign w:val="bottom"/>
          </w:tcPr>
          <w:p w14:paraId="777DD49E" w14:textId="77777777" w:rsidR="00997063" w:rsidRPr="00A07985" w:rsidRDefault="00997063" w:rsidP="00A07985">
            <w:pPr>
              <w:rPr>
                <w:b w:val="0"/>
                <w:bCs w:val="0"/>
                <w:sz w:val="20"/>
                <w:szCs w:val="20"/>
              </w:rPr>
            </w:pPr>
            <w:r w:rsidRPr="00A07985">
              <w:rPr>
                <w:b w:val="0"/>
                <w:bCs w:val="0"/>
                <w:color w:val="000000"/>
                <w:sz w:val="20"/>
                <w:szCs w:val="20"/>
              </w:rPr>
              <w:t>Exercise-induced tachycardia</w:t>
            </w:r>
          </w:p>
        </w:tc>
        <w:tc>
          <w:tcPr>
            <w:tcW w:w="746" w:type="pct"/>
          </w:tcPr>
          <w:p w14:paraId="3152A131"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Pr="00452C41">
              <w:rPr>
                <w:sz w:val="20"/>
                <w:szCs w:val="20"/>
              </w:rPr>
              <w:t xml:space="preserve"> (0</w:t>
            </w:r>
            <w:r>
              <w:rPr>
                <w:sz w:val="20"/>
                <w:szCs w:val="20"/>
              </w:rPr>
              <w:t>.3</w:t>
            </w:r>
            <w:r w:rsidRPr="00452C41">
              <w:rPr>
                <w:sz w:val="20"/>
                <w:szCs w:val="20"/>
              </w:rPr>
              <w:t>)</w:t>
            </w:r>
          </w:p>
        </w:tc>
        <w:tc>
          <w:tcPr>
            <w:tcW w:w="147" w:type="pct"/>
          </w:tcPr>
          <w:p w14:paraId="49FEAEF0"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tcPr>
          <w:p w14:paraId="4A8A1ABB"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Pr="00452C41">
              <w:rPr>
                <w:sz w:val="20"/>
                <w:szCs w:val="20"/>
              </w:rPr>
              <w:t xml:space="preserve"> (</w:t>
            </w:r>
            <w:r>
              <w:rPr>
                <w:sz w:val="20"/>
                <w:szCs w:val="20"/>
              </w:rPr>
              <w:t>0</w:t>
            </w:r>
            <w:r w:rsidRPr="00452C41">
              <w:rPr>
                <w:sz w:val="20"/>
                <w:szCs w:val="20"/>
              </w:rPr>
              <w:t>)</w:t>
            </w:r>
          </w:p>
        </w:tc>
        <w:tc>
          <w:tcPr>
            <w:tcW w:w="146" w:type="pct"/>
          </w:tcPr>
          <w:p w14:paraId="2F306734"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6EF4059D"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Pr="00452C41">
              <w:rPr>
                <w:sz w:val="20"/>
                <w:szCs w:val="20"/>
              </w:rPr>
              <w:t xml:space="preserve"> (0</w:t>
            </w:r>
            <w:r>
              <w:rPr>
                <w:sz w:val="20"/>
                <w:szCs w:val="20"/>
              </w:rPr>
              <w:t>.1</w:t>
            </w:r>
            <w:r w:rsidRPr="00452C41">
              <w:rPr>
                <w:sz w:val="20"/>
                <w:szCs w:val="20"/>
              </w:rPr>
              <w:t>)</w:t>
            </w:r>
          </w:p>
        </w:tc>
      </w:tr>
      <w:tr w:rsidR="00997063" w:rsidRPr="00452C41" w14:paraId="61E9027A" w14:textId="77777777" w:rsidTr="00A07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pct"/>
            <w:vAlign w:val="bottom"/>
          </w:tcPr>
          <w:p w14:paraId="5F751E88" w14:textId="77777777" w:rsidR="00997063" w:rsidRPr="00A07985" w:rsidRDefault="00997063" w:rsidP="00A07985">
            <w:pPr>
              <w:rPr>
                <w:b w:val="0"/>
                <w:bCs w:val="0"/>
                <w:sz w:val="20"/>
                <w:szCs w:val="20"/>
              </w:rPr>
            </w:pPr>
            <w:r w:rsidRPr="00A07985">
              <w:rPr>
                <w:b w:val="0"/>
                <w:bCs w:val="0"/>
                <w:color w:val="000000"/>
                <w:sz w:val="20"/>
                <w:szCs w:val="20"/>
              </w:rPr>
              <w:t>Myalgia</w:t>
            </w:r>
          </w:p>
        </w:tc>
        <w:tc>
          <w:tcPr>
            <w:tcW w:w="746" w:type="pct"/>
          </w:tcPr>
          <w:p w14:paraId="2B2136C0"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Pr="00452C41">
              <w:rPr>
                <w:sz w:val="20"/>
                <w:szCs w:val="20"/>
              </w:rPr>
              <w:t xml:space="preserve"> (</w:t>
            </w:r>
            <w:r>
              <w:rPr>
                <w:sz w:val="20"/>
                <w:szCs w:val="20"/>
              </w:rPr>
              <w:t>0</w:t>
            </w:r>
            <w:r w:rsidRPr="00452C41">
              <w:rPr>
                <w:sz w:val="20"/>
                <w:szCs w:val="20"/>
              </w:rPr>
              <w:t>)</w:t>
            </w:r>
          </w:p>
        </w:tc>
        <w:tc>
          <w:tcPr>
            <w:tcW w:w="147" w:type="pct"/>
          </w:tcPr>
          <w:p w14:paraId="343E3A71"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7" w:type="pct"/>
          </w:tcPr>
          <w:p w14:paraId="5254E0F5"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452C41">
              <w:rPr>
                <w:sz w:val="20"/>
                <w:szCs w:val="20"/>
              </w:rPr>
              <w:t xml:space="preserve"> (</w:t>
            </w:r>
            <w:r>
              <w:rPr>
                <w:sz w:val="20"/>
                <w:szCs w:val="20"/>
              </w:rPr>
              <w:t>0.3</w:t>
            </w:r>
            <w:r w:rsidRPr="00452C41">
              <w:rPr>
                <w:sz w:val="20"/>
                <w:szCs w:val="20"/>
              </w:rPr>
              <w:t>)</w:t>
            </w:r>
          </w:p>
        </w:tc>
        <w:tc>
          <w:tcPr>
            <w:tcW w:w="146" w:type="pct"/>
          </w:tcPr>
          <w:p w14:paraId="1D470407"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28" w:type="pct"/>
          </w:tcPr>
          <w:p w14:paraId="48723F08"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Pr="00452C41">
              <w:rPr>
                <w:sz w:val="20"/>
                <w:szCs w:val="20"/>
              </w:rPr>
              <w:t xml:space="preserve"> (</w:t>
            </w:r>
            <w:r>
              <w:rPr>
                <w:sz w:val="20"/>
                <w:szCs w:val="20"/>
              </w:rPr>
              <w:t>0.3</w:t>
            </w:r>
          </w:p>
        </w:tc>
      </w:tr>
      <w:tr w:rsidR="00997063" w:rsidRPr="00452C41" w14:paraId="11E189EF" w14:textId="77777777" w:rsidTr="00A07985">
        <w:tc>
          <w:tcPr>
            <w:cnfStyle w:val="001000000000" w:firstRow="0" w:lastRow="0" w:firstColumn="1" w:lastColumn="0" w:oddVBand="0" w:evenVBand="0" w:oddHBand="0" w:evenHBand="0" w:firstRowFirstColumn="0" w:firstRowLastColumn="0" w:lastRowFirstColumn="0" w:lastRowLastColumn="0"/>
            <w:tcW w:w="2556" w:type="pct"/>
            <w:vAlign w:val="bottom"/>
          </w:tcPr>
          <w:p w14:paraId="4310E3BA" w14:textId="77777777" w:rsidR="00997063" w:rsidRPr="00A07985" w:rsidRDefault="00997063" w:rsidP="00A07985">
            <w:pPr>
              <w:rPr>
                <w:b w:val="0"/>
                <w:bCs w:val="0"/>
                <w:sz w:val="20"/>
                <w:szCs w:val="20"/>
              </w:rPr>
            </w:pPr>
            <w:r w:rsidRPr="00A07985">
              <w:rPr>
                <w:b w:val="0"/>
                <w:bCs w:val="0"/>
                <w:color w:val="000000"/>
                <w:sz w:val="20"/>
                <w:szCs w:val="20"/>
              </w:rPr>
              <w:t>Low heart rate</w:t>
            </w:r>
          </w:p>
        </w:tc>
        <w:tc>
          <w:tcPr>
            <w:tcW w:w="746" w:type="pct"/>
          </w:tcPr>
          <w:p w14:paraId="79FD3580"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w:t>
            </w:r>
            <w:r w:rsidRPr="00452C41">
              <w:rPr>
                <w:color w:val="000000"/>
                <w:sz w:val="20"/>
                <w:szCs w:val="20"/>
              </w:rPr>
              <w:t xml:space="preserve"> (</w:t>
            </w:r>
            <w:r>
              <w:rPr>
                <w:color w:val="000000"/>
                <w:sz w:val="20"/>
                <w:szCs w:val="20"/>
              </w:rPr>
              <w:t>1.1</w:t>
            </w:r>
            <w:r w:rsidRPr="00452C41">
              <w:rPr>
                <w:color w:val="000000"/>
                <w:sz w:val="20"/>
                <w:szCs w:val="20"/>
              </w:rPr>
              <w:t>)</w:t>
            </w:r>
          </w:p>
        </w:tc>
        <w:tc>
          <w:tcPr>
            <w:tcW w:w="147" w:type="pct"/>
          </w:tcPr>
          <w:p w14:paraId="01FA7507"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tcPr>
          <w:p w14:paraId="00683509"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Pr="00452C41">
              <w:rPr>
                <w:sz w:val="20"/>
                <w:szCs w:val="20"/>
              </w:rPr>
              <w:t xml:space="preserve"> (</w:t>
            </w:r>
            <w:r>
              <w:rPr>
                <w:sz w:val="20"/>
                <w:szCs w:val="20"/>
              </w:rPr>
              <w:t>0</w:t>
            </w:r>
            <w:r w:rsidRPr="00452C41">
              <w:rPr>
                <w:sz w:val="20"/>
                <w:szCs w:val="20"/>
              </w:rPr>
              <w:t>)</w:t>
            </w:r>
          </w:p>
        </w:tc>
        <w:tc>
          <w:tcPr>
            <w:tcW w:w="146" w:type="pct"/>
          </w:tcPr>
          <w:p w14:paraId="38C7432F"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4F69334A"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Pr="00452C41">
              <w:rPr>
                <w:sz w:val="20"/>
                <w:szCs w:val="20"/>
              </w:rPr>
              <w:t xml:space="preserve"> (</w:t>
            </w:r>
            <w:r>
              <w:rPr>
                <w:sz w:val="20"/>
                <w:szCs w:val="20"/>
              </w:rPr>
              <w:t>0.1</w:t>
            </w:r>
            <w:r w:rsidRPr="00452C41">
              <w:rPr>
                <w:sz w:val="20"/>
                <w:szCs w:val="20"/>
              </w:rPr>
              <w:t>)</w:t>
            </w:r>
          </w:p>
        </w:tc>
      </w:tr>
      <w:tr w:rsidR="00997063" w:rsidRPr="00452C41" w14:paraId="260E8B1A" w14:textId="77777777" w:rsidTr="00A07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pct"/>
            <w:vAlign w:val="bottom"/>
          </w:tcPr>
          <w:p w14:paraId="14754675" w14:textId="77777777" w:rsidR="00997063" w:rsidRPr="00A07985" w:rsidRDefault="00997063" w:rsidP="00A07985">
            <w:pPr>
              <w:rPr>
                <w:b w:val="0"/>
                <w:bCs w:val="0"/>
                <w:sz w:val="20"/>
                <w:szCs w:val="20"/>
              </w:rPr>
            </w:pPr>
            <w:r w:rsidRPr="00A07985">
              <w:rPr>
                <w:b w:val="0"/>
                <w:bCs w:val="0"/>
                <w:color w:val="000000"/>
                <w:sz w:val="20"/>
                <w:szCs w:val="20"/>
              </w:rPr>
              <w:t xml:space="preserve">Back pain </w:t>
            </w:r>
          </w:p>
        </w:tc>
        <w:tc>
          <w:tcPr>
            <w:tcW w:w="746" w:type="pct"/>
          </w:tcPr>
          <w:p w14:paraId="721CA58E"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w:t>
            </w:r>
            <w:r w:rsidRPr="00452C41">
              <w:rPr>
                <w:sz w:val="20"/>
                <w:szCs w:val="20"/>
              </w:rPr>
              <w:t xml:space="preserve"> (</w:t>
            </w:r>
            <w:r>
              <w:rPr>
                <w:sz w:val="20"/>
                <w:szCs w:val="20"/>
              </w:rPr>
              <w:t>0.3</w:t>
            </w:r>
            <w:r w:rsidRPr="00452C41">
              <w:rPr>
                <w:sz w:val="20"/>
                <w:szCs w:val="20"/>
              </w:rPr>
              <w:t>)</w:t>
            </w:r>
          </w:p>
        </w:tc>
        <w:tc>
          <w:tcPr>
            <w:tcW w:w="147" w:type="pct"/>
          </w:tcPr>
          <w:p w14:paraId="50083B7C"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7" w:type="pct"/>
          </w:tcPr>
          <w:p w14:paraId="66DEEA79"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 (</w:t>
            </w:r>
            <w:r>
              <w:rPr>
                <w:sz w:val="20"/>
                <w:szCs w:val="20"/>
              </w:rPr>
              <w:t>0.1</w:t>
            </w:r>
            <w:r w:rsidRPr="00452C41">
              <w:rPr>
                <w:sz w:val="20"/>
                <w:szCs w:val="20"/>
              </w:rPr>
              <w:t>)</w:t>
            </w:r>
          </w:p>
        </w:tc>
        <w:tc>
          <w:tcPr>
            <w:tcW w:w="146" w:type="pct"/>
          </w:tcPr>
          <w:p w14:paraId="10D6096A"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28" w:type="pct"/>
          </w:tcPr>
          <w:p w14:paraId="7E33D8BB"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w:t>
            </w:r>
            <w:r>
              <w:rPr>
                <w:sz w:val="20"/>
                <w:szCs w:val="20"/>
              </w:rPr>
              <w:t>6</w:t>
            </w:r>
            <w:r w:rsidRPr="00452C41">
              <w:rPr>
                <w:sz w:val="20"/>
                <w:szCs w:val="20"/>
              </w:rPr>
              <w:t xml:space="preserve"> (</w:t>
            </w:r>
            <w:r>
              <w:rPr>
                <w:sz w:val="20"/>
                <w:szCs w:val="20"/>
              </w:rPr>
              <w:t>1.1</w:t>
            </w:r>
            <w:r w:rsidRPr="00452C41">
              <w:rPr>
                <w:sz w:val="20"/>
                <w:szCs w:val="20"/>
              </w:rPr>
              <w:t>)</w:t>
            </w:r>
          </w:p>
        </w:tc>
      </w:tr>
      <w:tr w:rsidR="00997063" w:rsidRPr="00452C41" w14:paraId="58252EF9" w14:textId="77777777" w:rsidTr="00A07985">
        <w:tc>
          <w:tcPr>
            <w:cnfStyle w:val="001000000000" w:firstRow="0" w:lastRow="0" w:firstColumn="1" w:lastColumn="0" w:oddVBand="0" w:evenVBand="0" w:oddHBand="0" w:evenHBand="0" w:firstRowFirstColumn="0" w:firstRowLastColumn="0" w:lastRowFirstColumn="0" w:lastRowLastColumn="0"/>
            <w:tcW w:w="2556" w:type="pct"/>
            <w:vAlign w:val="bottom"/>
          </w:tcPr>
          <w:p w14:paraId="16FB2004" w14:textId="77777777" w:rsidR="00997063" w:rsidRPr="00A07985" w:rsidRDefault="00997063" w:rsidP="00A07985">
            <w:pPr>
              <w:rPr>
                <w:b w:val="0"/>
                <w:bCs w:val="0"/>
                <w:sz w:val="20"/>
                <w:szCs w:val="20"/>
              </w:rPr>
            </w:pPr>
            <w:r w:rsidRPr="00A07985">
              <w:rPr>
                <w:b w:val="0"/>
                <w:bCs w:val="0"/>
                <w:color w:val="000000"/>
                <w:sz w:val="20"/>
                <w:szCs w:val="20"/>
              </w:rPr>
              <w:t>Shortness of breath</w:t>
            </w:r>
          </w:p>
        </w:tc>
        <w:tc>
          <w:tcPr>
            <w:tcW w:w="746" w:type="pct"/>
          </w:tcPr>
          <w:p w14:paraId="3B07FC71"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452C41">
              <w:rPr>
                <w:color w:val="000000"/>
                <w:sz w:val="20"/>
                <w:szCs w:val="20"/>
              </w:rPr>
              <w:t>3</w:t>
            </w:r>
            <w:r w:rsidRPr="00452C41">
              <w:rPr>
                <w:sz w:val="20"/>
                <w:szCs w:val="20"/>
              </w:rPr>
              <w:t xml:space="preserve"> (</w:t>
            </w:r>
            <w:r>
              <w:rPr>
                <w:sz w:val="20"/>
                <w:szCs w:val="20"/>
              </w:rPr>
              <w:t>0.2</w:t>
            </w:r>
            <w:r w:rsidRPr="00452C41">
              <w:rPr>
                <w:sz w:val="20"/>
                <w:szCs w:val="20"/>
              </w:rPr>
              <w:t>)</w:t>
            </w:r>
          </w:p>
        </w:tc>
        <w:tc>
          <w:tcPr>
            <w:tcW w:w="147" w:type="pct"/>
          </w:tcPr>
          <w:p w14:paraId="3C6C3D5D"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tcPr>
          <w:p w14:paraId="1F7AE91C"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452C41">
              <w:rPr>
                <w:sz w:val="20"/>
                <w:szCs w:val="20"/>
              </w:rPr>
              <w:t xml:space="preserve"> (</w:t>
            </w:r>
            <w:r>
              <w:rPr>
                <w:sz w:val="20"/>
                <w:szCs w:val="20"/>
              </w:rPr>
              <w:t>0.1</w:t>
            </w:r>
            <w:r w:rsidRPr="00452C41">
              <w:rPr>
                <w:sz w:val="20"/>
                <w:szCs w:val="20"/>
              </w:rPr>
              <w:t>)</w:t>
            </w:r>
          </w:p>
        </w:tc>
        <w:tc>
          <w:tcPr>
            <w:tcW w:w="146" w:type="pct"/>
          </w:tcPr>
          <w:p w14:paraId="494DA639"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42EEA462"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Pr="00452C41">
              <w:rPr>
                <w:sz w:val="20"/>
                <w:szCs w:val="20"/>
              </w:rPr>
              <w:t xml:space="preserve"> (</w:t>
            </w:r>
            <w:r>
              <w:rPr>
                <w:sz w:val="20"/>
                <w:szCs w:val="20"/>
              </w:rPr>
              <w:t>1.5</w:t>
            </w:r>
            <w:r w:rsidRPr="00452C41">
              <w:rPr>
                <w:sz w:val="20"/>
                <w:szCs w:val="20"/>
              </w:rPr>
              <w:t>)</w:t>
            </w:r>
          </w:p>
        </w:tc>
      </w:tr>
      <w:tr w:rsidR="00997063" w:rsidRPr="00452C41" w14:paraId="76E586AE" w14:textId="77777777" w:rsidTr="00A07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pct"/>
            <w:vAlign w:val="bottom"/>
          </w:tcPr>
          <w:p w14:paraId="2587EB76" w14:textId="77777777" w:rsidR="00997063" w:rsidRPr="00A07985" w:rsidRDefault="00997063" w:rsidP="00A07985">
            <w:pPr>
              <w:rPr>
                <w:b w:val="0"/>
                <w:bCs w:val="0"/>
                <w:sz w:val="20"/>
                <w:szCs w:val="20"/>
              </w:rPr>
            </w:pPr>
            <w:r w:rsidRPr="00A07985">
              <w:rPr>
                <w:b w:val="0"/>
                <w:bCs w:val="0"/>
                <w:color w:val="000000"/>
                <w:sz w:val="20"/>
                <w:szCs w:val="20"/>
              </w:rPr>
              <w:t xml:space="preserve">Fatigue </w:t>
            </w:r>
          </w:p>
        </w:tc>
        <w:tc>
          <w:tcPr>
            <w:tcW w:w="746" w:type="pct"/>
          </w:tcPr>
          <w:p w14:paraId="6A60E202"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Pr="00452C41">
              <w:rPr>
                <w:sz w:val="20"/>
                <w:szCs w:val="20"/>
              </w:rPr>
              <w:t xml:space="preserve"> (</w:t>
            </w:r>
            <w:r>
              <w:rPr>
                <w:sz w:val="20"/>
                <w:szCs w:val="20"/>
              </w:rPr>
              <w:t>0.4</w:t>
            </w:r>
            <w:r w:rsidRPr="00452C41">
              <w:rPr>
                <w:sz w:val="20"/>
                <w:szCs w:val="20"/>
              </w:rPr>
              <w:t>)</w:t>
            </w:r>
          </w:p>
        </w:tc>
        <w:tc>
          <w:tcPr>
            <w:tcW w:w="147" w:type="pct"/>
          </w:tcPr>
          <w:p w14:paraId="21CB6642"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7" w:type="pct"/>
          </w:tcPr>
          <w:p w14:paraId="131EAB4D"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Pr="00452C41">
              <w:rPr>
                <w:sz w:val="20"/>
                <w:szCs w:val="20"/>
              </w:rPr>
              <w:t xml:space="preserve"> (</w:t>
            </w:r>
            <w:r>
              <w:rPr>
                <w:sz w:val="20"/>
                <w:szCs w:val="20"/>
              </w:rPr>
              <w:t>1.4</w:t>
            </w:r>
            <w:r w:rsidRPr="00452C41">
              <w:rPr>
                <w:sz w:val="20"/>
                <w:szCs w:val="20"/>
              </w:rPr>
              <w:t>)</w:t>
            </w:r>
          </w:p>
        </w:tc>
        <w:tc>
          <w:tcPr>
            <w:tcW w:w="146" w:type="pct"/>
          </w:tcPr>
          <w:p w14:paraId="1A9E5ABA"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28" w:type="pct"/>
          </w:tcPr>
          <w:p w14:paraId="480B5C6C"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2</w:t>
            </w:r>
            <w:r>
              <w:rPr>
                <w:sz w:val="20"/>
                <w:szCs w:val="20"/>
              </w:rPr>
              <w:t>7</w:t>
            </w:r>
            <w:r w:rsidRPr="00452C41">
              <w:rPr>
                <w:sz w:val="20"/>
                <w:szCs w:val="20"/>
              </w:rPr>
              <w:t xml:space="preserve"> (</w:t>
            </w:r>
            <w:r>
              <w:rPr>
                <w:sz w:val="20"/>
                <w:szCs w:val="20"/>
              </w:rPr>
              <w:t>1.8</w:t>
            </w:r>
            <w:r w:rsidRPr="00452C41">
              <w:rPr>
                <w:sz w:val="20"/>
                <w:szCs w:val="20"/>
              </w:rPr>
              <w:t>)</w:t>
            </w:r>
          </w:p>
        </w:tc>
      </w:tr>
      <w:tr w:rsidR="00997063" w:rsidRPr="00452C41" w14:paraId="2E33648B" w14:textId="77777777" w:rsidTr="00A07985">
        <w:tc>
          <w:tcPr>
            <w:cnfStyle w:val="001000000000" w:firstRow="0" w:lastRow="0" w:firstColumn="1" w:lastColumn="0" w:oddVBand="0" w:evenVBand="0" w:oddHBand="0" w:evenHBand="0" w:firstRowFirstColumn="0" w:firstRowLastColumn="0" w:lastRowFirstColumn="0" w:lastRowLastColumn="0"/>
            <w:tcW w:w="2556" w:type="pct"/>
            <w:vAlign w:val="bottom"/>
          </w:tcPr>
          <w:p w14:paraId="5E6CAD2E" w14:textId="77777777" w:rsidR="00997063" w:rsidRPr="00A07985" w:rsidRDefault="00997063" w:rsidP="00A07985">
            <w:pPr>
              <w:rPr>
                <w:b w:val="0"/>
                <w:bCs w:val="0"/>
                <w:sz w:val="20"/>
                <w:szCs w:val="20"/>
              </w:rPr>
            </w:pPr>
            <w:r w:rsidRPr="00A07985">
              <w:rPr>
                <w:b w:val="0"/>
                <w:bCs w:val="0"/>
                <w:color w:val="000000"/>
                <w:sz w:val="20"/>
                <w:szCs w:val="20"/>
              </w:rPr>
              <w:t>Equipment</w:t>
            </w:r>
          </w:p>
        </w:tc>
        <w:tc>
          <w:tcPr>
            <w:tcW w:w="746" w:type="pct"/>
          </w:tcPr>
          <w:p w14:paraId="0A3CB42D"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r w:rsidRPr="00452C41">
              <w:rPr>
                <w:sz w:val="20"/>
                <w:szCs w:val="20"/>
              </w:rPr>
              <w:t xml:space="preserve"> (</w:t>
            </w:r>
            <w:r>
              <w:rPr>
                <w:sz w:val="20"/>
                <w:szCs w:val="20"/>
              </w:rPr>
              <w:t>3.4</w:t>
            </w:r>
            <w:r w:rsidRPr="00452C41">
              <w:rPr>
                <w:sz w:val="20"/>
                <w:szCs w:val="20"/>
              </w:rPr>
              <w:t>)</w:t>
            </w:r>
          </w:p>
        </w:tc>
        <w:tc>
          <w:tcPr>
            <w:tcW w:w="147" w:type="pct"/>
          </w:tcPr>
          <w:p w14:paraId="55D8DC7E"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tcPr>
          <w:p w14:paraId="7B8FA5D0"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452C41">
              <w:rPr>
                <w:sz w:val="20"/>
                <w:szCs w:val="20"/>
              </w:rPr>
              <w:t xml:space="preserve"> (</w:t>
            </w:r>
            <w:r>
              <w:rPr>
                <w:sz w:val="20"/>
                <w:szCs w:val="20"/>
              </w:rPr>
              <w:t>0.1</w:t>
            </w:r>
            <w:r w:rsidRPr="00452C41">
              <w:rPr>
                <w:sz w:val="20"/>
                <w:szCs w:val="20"/>
              </w:rPr>
              <w:t>)</w:t>
            </w:r>
          </w:p>
        </w:tc>
        <w:tc>
          <w:tcPr>
            <w:tcW w:w="146" w:type="pct"/>
          </w:tcPr>
          <w:p w14:paraId="50D906CF"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30E722EB"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Pr="00452C41">
              <w:rPr>
                <w:sz w:val="20"/>
                <w:szCs w:val="20"/>
              </w:rPr>
              <w:t xml:space="preserve"> (</w:t>
            </w:r>
            <w:r>
              <w:rPr>
                <w:sz w:val="20"/>
                <w:szCs w:val="20"/>
              </w:rPr>
              <w:t>1.7</w:t>
            </w:r>
            <w:r w:rsidRPr="00452C41">
              <w:rPr>
                <w:sz w:val="20"/>
                <w:szCs w:val="20"/>
              </w:rPr>
              <w:t>)</w:t>
            </w:r>
          </w:p>
        </w:tc>
      </w:tr>
      <w:tr w:rsidR="00997063" w:rsidRPr="00452C41" w14:paraId="2ACA84AE" w14:textId="77777777" w:rsidTr="00A07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pct"/>
            <w:vAlign w:val="bottom"/>
          </w:tcPr>
          <w:p w14:paraId="04A4F3CE" w14:textId="77777777" w:rsidR="00997063" w:rsidRPr="00A07985" w:rsidRDefault="00997063" w:rsidP="00A07985">
            <w:pPr>
              <w:rPr>
                <w:b w:val="0"/>
                <w:bCs w:val="0"/>
                <w:sz w:val="20"/>
                <w:szCs w:val="20"/>
              </w:rPr>
            </w:pPr>
            <w:r w:rsidRPr="00A07985">
              <w:rPr>
                <w:b w:val="0"/>
                <w:bCs w:val="0"/>
                <w:color w:val="000000"/>
                <w:sz w:val="20"/>
                <w:szCs w:val="20"/>
              </w:rPr>
              <w:t>Arthralgia</w:t>
            </w:r>
          </w:p>
        </w:tc>
        <w:tc>
          <w:tcPr>
            <w:tcW w:w="746" w:type="pct"/>
          </w:tcPr>
          <w:p w14:paraId="4729C801"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Pr="00452C41">
              <w:rPr>
                <w:sz w:val="20"/>
                <w:szCs w:val="20"/>
              </w:rPr>
              <w:t xml:space="preserve"> (0</w:t>
            </w:r>
            <w:r>
              <w:rPr>
                <w:sz w:val="20"/>
                <w:szCs w:val="20"/>
              </w:rPr>
              <w:t>.3</w:t>
            </w:r>
            <w:r w:rsidRPr="00452C41">
              <w:rPr>
                <w:sz w:val="20"/>
                <w:szCs w:val="20"/>
              </w:rPr>
              <w:t>)</w:t>
            </w:r>
          </w:p>
        </w:tc>
        <w:tc>
          <w:tcPr>
            <w:tcW w:w="147" w:type="pct"/>
          </w:tcPr>
          <w:p w14:paraId="28EAA19C"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7" w:type="pct"/>
          </w:tcPr>
          <w:p w14:paraId="4C46AFF1"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r w:rsidRPr="00452C41">
              <w:rPr>
                <w:sz w:val="20"/>
                <w:szCs w:val="20"/>
              </w:rPr>
              <w:t xml:space="preserve"> (</w:t>
            </w:r>
            <w:r>
              <w:rPr>
                <w:sz w:val="20"/>
                <w:szCs w:val="20"/>
              </w:rPr>
              <w:t>1.8</w:t>
            </w:r>
            <w:r w:rsidRPr="00452C41">
              <w:rPr>
                <w:sz w:val="20"/>
                <w:szCs w:val="20"/>
              </w:rPr>
              <w:t>)</w:t>
            </w:r>
          </w:p>
        </w:tc>
        <w:tc>
          <w:tcPr>
            <w:tcW w:w="146" w:type="pct"/>
          </w:tcPr>
          <w:p w14:paraId="4ED89B53"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28" w:type="pct"/>
          </w:tcPr>
          <w:p w14:paraId="66CB92C5" w14:textId="77777777" w:rsidR="00997063" w:rsidRPr="00452C41" w:rsidRDefault="00997063" w:rsidP="00A0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w:t>
            </w:r>
            <w:r w:rsidRPr="00452C41">
              <w:rPr>
                <w:sz w:val="20"/>
                <w:szCs w:val="20"/>
              </w:rPr>
              <w:t xml:space="preserve"> (</w:t>
            </w:r>
            <w:r>
              <w:rPr>
                <w:sz w:val="20"/>
                <w:szCs w:val="20"/>
              </w:rPr>
              <w:t>3.3</w:t>
            </w:r>
            <w:r w:rsidRPr="00452C41">
              <w:rPr>
                <w:sz w:val="20"/>
                <w:szCs w:val="20"/>
              </w:rPr>
              <w:t>)</w:t>
            </w:r>
          </w:p>
        </w:tc>
      </w:tr>
      <w:tr w:rsidR="00997063" w:rsidRPr="00452C41" w14:paraId="695BCAF2" w14:textId="77777777" w:rsidTr="00A07985">
        <w:tc>
          <w:tcPr>
            <w:cnfStyle w:val="001000000000" w:firstRow="0" w:lastRow="0" w:firstColumn="1" w:lastColumn="0" w:oddVBand="0" w:evenVBand="0" w:oddHBand="0" w:evenHBand="0" w:firstRowFirstColumn="0" w:firstRowLastColumn="0" w:lastRowFirstColumn="0" w:lastRowLastColumn="0"/>
            <w:tcW w:w="2556" w:type="pct"/>
            <w:tcBorders>
              <w:bottom w:val="single" w:sz="4" w:space="0" w:color="auto"/>
            </w:tcBorders>
            <w:vAlign w:val="bottom"/>
          </w:tcPr>
          <w:p w14:paraId="3650DD61" w14:textId="77777777" w:rsidR="00997063" w:rsidRPr="00A07985" w:rsidRDefault="00997063" w:rsidP="00A07985">
            <w:pPr>
              <w:rPr>
                <w:b w:val="0"/>
                <w:bCs w:val="0"/>
                <w:sz w:val="20"/>
                <w:szCs w:val="20"/>
              </w:rPr>
            </w:pPr>
            <w:r w:rsidRPr="00A07985">
              <w:rPr>
                <w:b w:val="0"/>
                <w:bCs w:val="0"/>
                <w:color w:val="000000"/>
                <w:sz w:val="20"/>
                <w:szCs w:val="20"/>
              </w:rPr>
              <w:t>Other / Non-specific</w:t>
            </w:r>
          </w:p>
        </w:tc>
        <w:tc>
          <w:tcPr>
            <w:tcW w:w="746" w:type="pct"/>
            <w:tcBorders>
              <w:bottom w:val="single" w:sz="4" w:space="0" w:color="auto"/>
            </w:tcBorders>
          </w:tcPr>
          <w:p w14:paraId="5749A7BB"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166</w:t>
            </w:r>
            <w:r w:rsidRPr="00452C41">
              <w:rPr>
                <w:color w:val="000000"/>
                <w:sz w:val="20"/>
                <w:szCs w:val="20"/>
              </w:rPr>
              <w:t xml:space="preserve"> (</w:t>
            </w:r>
            <w:r>
              <w:rPr>
                <w:color w:val="000000"/>
                <w:sz w:val="20"/>
                <w:szCs w:val="20"/>
              </w:rPr>
              <w:t>11.3</w:t>
            </w:r>
            <w:r w:rsidRPr="00452C41">
              <w:rPr>
                <w:color w:val="000000"/>
                <w:sz w:val="20"/>
                <w:szCs w:val="20"/>
              </w:rPr>
              <w:t>)</w:t>
            </w:r>
          </w:p>
        </w:tc>
        <w:tc>
          <w:tcPr>
            <w:tcW w:w="147" w:type="pct"/>
            <w:tcBorders>
              <w:bottom w:val="single" w:sz="4" w:space="0" w:color="auto"/>
            </w:tcBorders>
          </w:tcPr>
          <w:p w14:paraId="3FB49470"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tcBorders>
              <w:bottom w:val="single" w:sz="4" w:space="0" w:color="auto"/>
            </w:tcBorders>
          </w:tcPr>
          <w:p w14:paraId="0DAF6EEC"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581</w:t>
            </w:r>
            <w:r w:rsidRPr="00452C41">
              <w:rPr>
                <w:sz w:val="20"/>
                <w:szCs w:val="20"/>
              </w:rPr>
              <w:t xml:space="preserve"> (</w:t>
            </w:r>
            <w:r>
              <w:rPr>
                <w:sz w:val="20"/>
                <w:szCs w:val="20"/>
              </w:rPr>
              <w:t>39.6</w:t>
            </w:r>
            <w:r w:rsidRPr="00452C41">
              <w:rPr>
                <w:sz w:val="20"/>
                <w:szCs w:val="20"/>
              </w:rPr>
              <w:t>)</w:t>
            </w:r>
          </w:p>
        </w:tc>
        <w:tc>
          <w:tcPr>
            <w:tcW w:w="146" w:type="pct"/>
            <w:tcBorders>
              <w:bottom w:val="single" w:sz="4" w:space="0" w:color="auto"/>
            </w:tcBorders>
          </w:tcPr>
          <w:p w14:paraId="1E3F0C3C"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Borders>
              <w:bottom w:val="single" w:sz="4" w:space="0" w:color="auto"/>
            </w:tcBorders>
          </w:tcPr>
          <w:p w14:paraId="73C50B9F" w14:textId="77777777" w:rsidR="00997063" w:rsidRPr="00452C41" w:rsidRDefault="00997063" w:rsidP="00A079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430</w:t>
            </w:r>
            <w:r w:rsidRPr="00452C41">
              <w:rPr>
                <w:sz w:val="20"/>
                <w:szCs w:val="20"/>
              </w:rPr>
              <w:t xml:space="preserve"> (2</w:t>
            </w:r>
            <w:r>
              <w:rPr>
                <w:sz w:val="20"/>
                <w:szCs w:val="20"/>
              </w:rPr>
              <w:t>9.3</w:t>
            </w:r>
            <w:r w:rsidRPr="00452C41">
              <w:rPr>
                <w:sz w:val="20"/>
                <w:szCs w:val="20"/>
              </w:rPr>
              <w:t>)</w:t>
            </w:r>
          </w:p>
        </w:tc>
      </w:tr>
      <w:bookmarkEnd w:id="9"/>
      <w:bookmarkEnd w:id="13"/>
    </w:tbl>
    <w:p w14:paraId="01858D3F" w14:textId="77777777" w:rsidR="00997063" w:rsidRPr="00452C41" w:rsidRDefault="00997063" w:rsidP="00997063">
      <w:pPr>
        <w:rPr>
          <w:rFonts w:eastAsia="Calibri"/>
          <w:bCs/>
          <w:sz w:val="20"/>
          <w:szCs w:val="20"/>
        </w:rPr>
      </w:pPr>
    </w:p>
    <w:p w14:paraId="7B884981" w14:textId="77777777" w:rsidR="00997063" w:rsidRPr="00452C41" w:rsidRDefault="00997063" w:rsidP="00997063">
      <w:pPr>
        <w:rPr>
          <w:rFonts w:eastAsia="Calibri"/>
          <w:bCs/>
          <w:sz w:val="20"/>
          <w:szCs w:val="20"/>
        </w:rPr>
      </w:pPr>
      <w:r w:rsidRPr="00452C41">
        <w:rPr>
          <w:rFonts w:eastAsia="Calibri"/>
          <w:bCs/>
          <w:sz w:val="20"/>
          <w:szCs w:val="20"/>
        </w:rPr>
        <w:t xml:space="preserve">Data presented as number of </w:t>
      </w:r>
      <w:r>
        <w:rPr>
          <w:rFonts w:eastAsia="Calibri"/>
          <w:bCs/>
          <w:sz w:val="20"/>
          <w:szCs w:val="20"/>
        </w:rPr>
        <w:t>events</w:t>
      </w:r>
      <w:r w:rsidRPr="00452C41">
        <w:rPr>
          <w:rFonts w:eastAsia="Calibri"/>
          <w:bCs/>
          <w:sz w:val="20"/>
          <w:szCs w:val="20"/>
        </w:rPr>
        <w:t xml:space="preserve"> (%)</w:t>
      </w:r>
    </w:p>
    <w:p w14:paraId="3678CCBB" w14:textId="77777777" w:rsidR="00997063" w:rsidRPr="00452C41" w:rsidRDefault="00997063" w:rsidP="00997063">
      <w:pPr>
        <w:spacing w:after="160" w:line="259" w:lineRule="auto"/>
        <w:rPr>
          <w:b/>
          <w:sz w:val="20"/>
          <w:szCs w:val="20"/>
        </w:rPr>
      </w:pPr>
      <w:r w:rsidRPr="00452C41">
        <w:rPr>
          <w:b/>
          <w:sz w:val="20"/>
          <w:szCs w:val="20"/>
        </w:rPr>
        <w:t xml:space="preserve">Abbreviations: </w:t>
      </w:r>
      <w:r w:rsidRPr="00452C41">
        <w:rPr>
          <w:sz w:val="20"/>
          <w:szCs w:val="20"/>
        </w:rPr>
        <w:t>AT, aerobic training; RT, resistance training; CT, combination training.</w:t>
      </w:r>
    </w:p>
    <w:p w14:paraId="5F016354" w14:textId="77777777" w:rsidR="00B61FA3" w:rsidRDefault="00B61FA3">
      <w:pPr>
        <w:rPr>
          <w:b/>
          <w:sz w:val="20"/>
          <w:szCs w:val="20"/>
        </w:rPr>
      </w:pPr>
      <w:r>
        <w:rPr>
          <w:b/>
          <w:sz w:val="20"/>
          <w:szCs w:val="20"/>
        </w:rPr>
        <w:br w:type="page"/>
      </w:r>
    </w:p>
    <w:p w14:paraId="534C851A" w14:textId="003D0A61" w:rsidR="00B61FA3" w:rsidRPr="00452C41" w:rsidRDefault="00B61FA3" w:rsidP="00B61FA3">
      <w:pPr>
        <w:rPr>
          <w:b/>
          <w:sz w:val="20"/>
          <w:szCs w:val="20"/>
        </w:rPr>
      </w:pPr>
      <w:r>
        <w:rPr>
          <w:b/>
          <w:sz w:val="20"/>
          <w:szCs w:val="20"/>
        </w:rPr>
        <w:lastRenderedPageBreak/>
        <w:t>Supplementary</w:t>
      </w:r>
      <w:r w:rsidRPr="00452C41">
        <w:rPr>
          <w:b/>
          <w:sz w:val="20"/>
          <w:szCs w:val="20"/>
        </w:rPr>
        <w:t xml:space="preserve"> Table </w:t>
      </w:r>
      <w:r w:rsidR="00114BC1">
        <w:rPr>
          <w:b/>
          <w:sz w:val="20"/>
          <w:szCs w:val="20"/>
        </w:rPr>
        <w:t>4</w:t>
      </w:r>
      <w:r w:rsidRPr="00452C41">
        <w:rPr>
          <w:b/>
          <w:sz w:val="20"/>
          <w:szCs w:val="20"/>
        </w:rPr>
        <w:t xml:space="preserve">. </w:t>
      </w:r>
      <w:r w:rsidRPr="00452C41">
        <w:rPr>
          <w:sz w:val="20"/>
          <w:szCs w:val="20"/>
        </w:rPr>
        <w:t xml:space="preserve">Adverse Events </w:t>
      </w:r>
    </w:p>
    <w:p w14:paraId="399B2364" w14:textId="77777777" w:rsidR="00B61FA3" w:rsidRPr="00452C41" w:rsidRDefault="00B61FA3" w:rsidP="00B61FA3">
      <w:pPr>
        <w:rPr>
          <w:b/>
          <w:sz w:val="20"/>
          <w:szCs w:val="20"/>
        </w:rPr>
      </w:pPr>
    </w:p>
    <w:tbl>
      <w:tblPr>
        <w:tblStyle w:val="PlainTable43"/>
        <w:tblW w:w="3534" w:type="pct"/>
        <w:tblLayout w:type="fixed"/>
        <w:tblLook w:val="04A0" w:firstRow="1" w:lastRow="0" w:firstColumn="1" w:lastColumn="0" w:noHBand="0" w:noVBand="1"/>
      </w:tblPr>
      <w:tblGrid>
        <w:gridCol w:w="4546"/>
        <w:gridCol w:w="803"/>
        <w:gridCol w:w="237"/>
        <w:gridCol w:w="1095"/>
        <w:gridCol w:w="236"/>
        <w:gridCol w:w="973"/>
        <w:gridCol w:w="236"/>
        <w:gridCol w:w="977"/>
        <w:gridCol w:w="265"/>
        <w:gridCol w:w="810"/>
      </w:tblGrid>
      <w:tr w:rsidR="00B61FA3" w:rsidRPr="00452C41" w14:paraId="124935E8" w14:textId="77777777" w:rsidTr="00B6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Borders>
              <w:top w:val="single" w:sz="4" w:space="0" w:color="auto"/>
              <w:bottom w:val="single" w:sz="4" w:space="0" w:color="auto"/>
            </w:tcBorders>
          </w:tcPr>
          <w:p w14:paraId="0FA99137" w14:textId="77777777" w:rsidR="00B61FA3" w:rsidRPr="00452C41" w:rsidRDefault="00B61FA3" w:rsidP="00B61FA3">
            <w:pPr>
              <w:rPr>
                <w:b w:val="0"/>
                <w:sz w:val="20"/>
                <w:szCs w:val="20"/>
              </w:rPr>
            </w:pPr>
          </w:p>
          <w:p w14:paraId="7734B54E" w14:textId="77777777" w:rsidR="00B61FA3" w:rsidRPr="00452C41" w:rsidRDefault="00B61FA3" w:rsidP="00B61FA3">
            <w:pPr>
              <w:rPr>
                <w:sz w:val="20"/>
                <w:szCs w:val="20"/>
              </w:rPr>
            </w:pPr>
            <w:r w:rsidRPr="00452C41">
              <w:rPr>
                <w:sz w:val="20"/>
                <w:szCs w:val="20"/>
              </w:rPr>
              <w:t>Variable</w:t>
            </w:r>
          </w:p>
        </w:tc>
        <w:tc>
          <w:tcPr>
            <w:tcW w:w="394" w:type="pct"/>
            <w:tcBorders>
              <w:top w:val="single" w:sz="4" w:space="0" w:color="auto"/>
              <w:bottom w:val="single" w:sz="4" w:space="0" w:color="auto"/>
            </w:tcBorders>
          </w:tcPr>
          <w:p w14:paraId="3C1C78BB"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2B508077"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AT</w:t>
            </w:r>
          </w:p>
          <w:p w14:paraId="4A5D2999"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(n=24)</w:t>
            </w:r>
          </w:p>
        </w:tc>
        <w:tc>
          <w:tcPr>
            <w:tcW w:w="116" w:type="pct"/>
            <w:tcBorders>
              <w:top w:val="single" w:sz="4" w:space="0" w:color="auto"/>
              <w:bottom w:val="single" w:sz="4" w:space="0" w:color="auto"/>
            </w:tcBorders>
          </w:tcPr>
          <w:p w14:paraId="7311C0A6"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538" w:type="pct"/>
            <w:tcBorders>
              <w:top w:val="single" w:sz="4" w:space="0" w:color="auto"/>
              <w:bottom w:val="single" w:sz="4" w:space="0" w:color="auto"/>
            </w:tcBorders>
          </w:tcPr>
          <w:p w14:paraId="0B1899FE"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49D85826"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RT</w:t>
            </w:r>
          </w:p>
          <w:p w14:paraId="0BBA9076"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(n=23)</w:t>
            </w:r>
          </w:p>
        </w:tc>
        <w:tc>
          <w:tcPr>
            <w:tcW w:w="116" w:type="pct"/>
            <w:tcBorders>
              <w:top w:val="single" w:sz="4" w:space="0" w:color="auto"/>
              <w:bottom w:val="single" w:sz="4" w:space="0" w:color="auto"/>
            </w:tcBorders>
          </w:tcPr>
          <w:p w14:paraId="0F44AC80"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78" w:type="pct"/>
            <w:tcBorders>
              <w:top w:val="single" w:sz="4" w:space="0" w:color="auto"/>
              <w:bottom w:val="single" w:sz="4" w:space="0" w:color="auto"/>
            </w:tcBorders>
          </w:tcPr>
          <w:p w14:paraId="589A75BA"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38A3487F"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CT</w:t>
            </w:r>
          </w:p>
          <w:p w14:paraId="6B210780"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(n=20)</w:t>
            </w:r>
          </w:p>
          <w:p w14:paraId="6D29B1C2"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i/>
                <w:sz w:val="20"/>
                <w:szCs w:val="20"/>
              </w:rPr>
            </w:pPr>
          </w:p>
        </w:tc>
        <w:tc>
          <w:tcPr>
            <w:tcW w:w="116" w:type="pct"/>
            <w:tcBorders>
              <w:top w:val="single" w:sz="4" w:space="0" w:color="auto"/>
              <w:bottom w:val="single" w:sz="4" w:space="0" w:color="auto"/>
            </w:tcBorders>
          </w:tcPr>
          <w:p w14:paraId="73954DD8"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80" w:type="pct"/>
            <w:tcBorders>
              <w:top w:val="single" w:sz="4" w:space="0" w:color="auto"/>
              <w:bottom w:val="single" w:sz="4" w:space="0" w:color="auto"/>
            </w:tcBorders>
          </w:tcPr>
          <w:p w14:paraId="41D846BD"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211E9076"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sz w:val="20"/>
                <w:szCs w:val="20"/>
              </w:rPr>
            </w:pPr>
            <w:r w:rsidRPr="00452C41">
              <w:rPr>
                <w:sz w:val="20"/>
                <w:szCs w:val="20"/>
              </w:rPr>
              <w:t>AC</w:t>
            </w:r>
          </w:p>
          <w:p w14:paraId="2C98C381"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452C41">
              <w:rPr>
                <w:sz w:val="20"/>
                <w:szCs w:val="20"/>
              </w:rPr>
              <w:t>(n=23)</w:t>
            </w:r>
          </w:p>
        </w:tc>
        <w:tc>
          <w:tcPr>
            <w:tcW w:w="130" w:type="pct"/>
            <w:tcBorders>
              <w:top w:val="single" w:sz="4" w:space="0" w:color="auto"/>
              <w:bottom w:val="single" w:sz="4" w:space="0" w:color="auto"/>
            </w:tcBorders>
          </w:tcPr>
          <w:p w14:paraId="7B90EE06"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i/>
                <w:sz w:val="20"/>
                <w:szCs w:val="20"/>
              </w:rPr>
            </w:pPr>
          </w:p>
        </w:tc>
        <w:tc>
          <w:tcPr>
            <w:tcW w:w="398" w:type="pct"/>
            <w:tcBorders>
              <w:top w:val="single" w:sz="4" w:space="0" w:color="auto"/>
              <w:bottom w:val="single" w:sz="4" w:space="0" w:color="auto"/>
            </w:tcBorders>
            <w:vAlign w:val="center"/>
          </w:tcPr>
          <w:p w14:paraId="020844EF" w14:textId="77777777" w:rsidR="00B61FA3" w:rsidRPr="00452C41" w:rsidRDefault="00B61FA3" w:rsidP="00B61FA3">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452C41">
              <w:rPr>
                <w:i/>
                <w:sz w:val="20"/>
                <w:szCs w:val="20"/>
              </w:rPr>
              <w:t>P†</w:t>
            </w:r>
          </w:p>
        </w:tc>
      </w:tr>
      <w:tr w:rsidR="00B61FA3" w:rsidRPr="00452C41" w14:paraId="55DBB259"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Borders>
              <w:top w:val="single" w:sz="4" w:space="0" w:color="auto"/>
            </w:tcBorders>
          </w:tcPr>
          <w:p w14:paraId="1DA5B7CA" w14:textId="77777777" w:rsidR="00B61FA3" w:rsidRPr="00452C41" w:rsidRDefault="00B61FA3" w:rsidP="00B61FA3">
            <w:pPr>
              <w:rPr>
                <w:b w:val="0"/>
                <w:sz w:val="20"/>
                <w:szCs w:val="20"/>
              </w:rPr>
            </w:pPr>
            <w:r w:rsidRPr="00452C41">
              <w:rPr>
                <w:b w:val="0"/>
                <w:sz w:val="20"/>
                <w:szCs w:val="20"/>
              </w:rPr>
              <w:t>Abnormal heart rate response</w:t>
            </w:r>
          </w:p>
        </w:tc>
        <w:tc>
          <w:tcPr>
            <w:tcW w:w="394" w:type="pct"/>
            <w:tcBorders>
              <w:top w:val="single" w:sz="4" w:space="0" w:color="auto"/>
            </w:tcBorders>
          </w:tcPr>
          <w:p w14:paraId="798874D4"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 (4)</w:t>
            </w:r>
          </w:p>
        </w:tc>
        <w:tc>
          <w:tcPr>
            <w:tcW w:w="116" w:type="pct"/>
            <w:tcBorders>
              <w:top w:val="single" w:sz="4" w:space="0" w:color="auto"/>
            </w:tcBorders>
          </w:tcPr>
          <w:p w14:paraId="02F6EEEB"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Borders>
              <w:top w:val="single" w:sz="4" w:space="0" w:color="auto"/>
            </w:tcBorders>
          </w:tcPr>
          <w:p w14:paraId="56385143"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16" w:type="pct"/>
            <w:tcBorders>
              <w:top w:val="single" w:sz="4" w:space="0" w:color="auto"/>
            </w:tcBorders>
          </w:tcPr>
          <w:p w14:paraId="49925168"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Borders>
              <w:top w:val="single" w:sz="4" w:space="0" w:color="auto"/>
            </w:tcBorders>
          </w:tcPr>
          <w:p w14:paraId="0D49DA00"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16" w:type="pct"/>
            <w:tcBorders>
              <w:top w:val="single" w:sz="4" w:space="0" w:color="auto"/>
            </w:tcBorders>
          </w:tcPr>
          <w:p w14:paraId="653CF5F5"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Borders>
              <w:top w:val="single" w:sz="4" w:space="0" w:color="auto"/>
            </w:tcBorders>
          </w:tcPr>
          <w:p w14:paraId="6EB4AE8A"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30" w:type="pct"/>
            <w:tcBorders>
              <w:top w:val="single" w:sz="4" w:space="0" w:color="auto"/>
            </w:tcBorders>
          </w:tcPr>
          <w:p w14:paraId="2498CB9C"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Borders>
              <w:top w:val="single" w:sz="4" w:space="0" w:color="auto"/>
            </w:tcBorders>
          </w:tcPr>
          <w:p w14:paraId="14C7F3AB"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1.00</w:t>
            </w:r>
          </w:p>
        </w:tc>
      </w:tr>
      <w:tr w:rsidR="00B61FA3" w:rsidRPr="00452C41" w14:paraId="6DC6E809" w14:textId="77777777" w:rsidTr="00B61FA3">
        <w:tc>
          <w:tcPr>
            <w:cnfStyle w:val="001000000000" w:firstRow="0" w:lastRow="0" w:firstColumn="1" w:lastColumn="0" w:oddVBand="0" w:evenVBand="0" w:oddHBand="0" w:evenHBand="0" w:firstRowFirstColumn="0" w:firstRowLastColumn="0" w:lastRowFirstColumn="0" w:lastRowLastColumn="0"/>
            <w:tcW w:w="2233" w:type="pct"/>
          </w:tcPr>
          <w:p w14:paraId="6855E841" w14:textId="77777777" w:rsidR="00B61FA3" w:rsidRPr="00452C41" w:rsidRDefault="00B61FA3" w:rsidP="00B61FA3">
            <w:pPr>
              <w:rPr>
                <w:b w:val="0"/>
                <w:sz w:val="20"/>
                <w:szCs w:val="20"/>
              </w:rPr>
            </w:pPr>
            <w:r w:rsidRPr="00452C41">
              <w:rPr>
                <w:b w:val="0"/>
                <w:sz w:val="20"/>
                <w:szCs w:val="20"/>
              </w:rPr>
              <w:t>Abnormal blood pressure response</w:t>
            </w:r>
          </w:p>
        </w:tc>
        <w:tc>
          <w:tcPr>
            <w:tcW w:w="394" w:type="pct"/>
          </w:tcPr>
          <w:p w14:paraId="42BC035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16" w:type="pct"/>
          </w:tcPr>
          <w:p w14:paraId="41D918DE"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Pr>
          <w:p w14:paraId="409BC494"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1 (4)</w:t>
            </w:r>
          </w:p>
        </w:tc>
        <w:tc>
          <w:tcPr>
            <w:tcW w:w="116" w:type="pct"/>
          </w:tcPr>
          <w:p w14:paraId="32D149FE"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Pr>
          <w:p w14:paraId="22106227"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16" w:type="pct"/>
          </w:tcPr>
          <w:p w14:paraId="69923394"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Pr>
          <w:p w14:paraId="28D1A48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30" w:type="pct"/>
          </w:tcPr>
          <w:p w14:paraId="0DA2DC17"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Pr>
          <w:p w14:paraId="3BE2258A"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0.73</w:t>
            </w:r>
          </w:p>
        </w:tc>
      </w:tr>
      <w:tr w:rsidR="00B61FA3" w:rsidRPr="00452C41" w14:paraId="0D7BDB92"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14:paraId="02C0975C" w14:textId="77777777" w:rsidR="00B61FA3" w:rsidRPr="00452C41" w:rsidRDefault="00B61FA3" w:rsidP="00B61FA3">
            <w:pPr>
              <w:rPr>
                <w:b w:val="0"/>
                <w:sz w:val="20"/>
                <w:szCs w:val="20"/>
              </w:rPr>
            </w:pPr>
            <w:r w:rsidRPr="00452C41">
              <w:rPr>
                <w:b w:val="0"/>
                <w:sz w:val="20"/>
                <w:szCs w:val="20"/>
              </w:rPr>
              <w:t>Arthralgia</w:t>
            </w:r>
          </w:p>
        </w:tc>
        <w:tc>
          <w:tcPr>
            <w:tcW w:w="394" w:type="pct"/>
          </w:tcPr>
          <w:p w14:paraId="317B621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3 (13)</w:t>
            </w:r>
          </w:p>
        </w:tc>
        <w:tc>
          <w:tcPr>
            <w:tcW w:w="116" w:type="pct"/>
          </w:tcPr>
          <w:p w14:paraId="656ED2A3"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Pr>
          <w:p w14:paraId="6793B69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15 (65)</w:t>
            </w:r>
          </w:p>
        </w:tc>
        <w:tc>
          <w:tcPr>
            <w:tcW w:w="116" w:type="pct"/>
          </w:tcPr>
          <w:p w14:paraId="28D0B6F8"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Pr>
          <w:p w14:paraId="6A080216"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12 (60)</w:t>
            </w:r>
          </w:p>
        </w:tc>
        <w:tc>
          <w:tcPr>
            <w:tcW w:w="116" w:type="pct"/>
          </w:tcPr>
          <w:p w14:paraId="5044F675"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Pr>
          <w:p w14:paraId="00AFD900"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3 (13)</w:t>
            </w:r>
          </w:p>
        </w:tc>
        <w:tc>
          <w:tcPr>
            <w:tcW w:w="130" w:type="pct"/>
          </w:tcPr>
          <w:p w14:paraId="7524771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Pr>
          <w:p w14:paraId="12F9A000"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&lt;0.001</w:t>
            </w:r>
          </w:p>
        </w:tc>
      </w:tr>
      <w:tr w:rsidR="00B61FA3" w:rsidRPr="00452C41" w14:paraId="3A2DDFFE" w14:textId="77777777" w:rsidTr="00B61FA3">
        <w:tc>
          <w:tcPr>
            <w:cnfStyle w:val="001000000000" w:firstRow="0" w:lastRow="0" w:firstColumn="1" w:lastColumn="0" w:oddVBand="0" w:evenVBand="0" w:oddHBand="0" w:evenHBand="0" w:firstRowFirstColumn="0" w:firstRowLastColumn="0" w:lastRowFirstColumn="0" w:lastRowLastColumn="0"/>
            <w:tcW w:w="2233" w:type="pct"/>
          </w:tcPr>
          <w:p w14:paraId="63A33306" w14:textId="77777777" w:rsidR="00B61FA3" w:rsidRPr="00452C41" w:rsidRDefault="00B61FA3" w:rsidP="00B61FA3">
            <w:pPr>
              <w:rPr>
                <w:b w:val="0"/>
                <w:sz w:val="20"/>
                <w:szCs w:val="20"/>
              </w:rPr>
            </w:pPr>
            <w:r w:rsidRPr="00452C41">
              <w:rPr>
                <w:b w:val="0"/>
                <w:sz w:val="20"/>
                <w:szCs w:val="20"/>
              </w:rPr>
              <w:t>Back pain</w:t>
            </w:r>
          </w:p>
        </w:tc>
        <w:tc>
          <w:tcPr>
            <w:tcW w:w="394" w:type="pct"/>
          </w:tcPr>
          <w:p w14:paraId="06E955DC"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452C41">
              <w:rPr>
                <w:color w:val="000000"/>
                <w:sz w:val="20"/>
                <w:szCs w:val="20"/>
              </w:rPr>
              <w:t>6 (25)</w:t>
            </w:r>
          </w:p>
        </w:tc>
        <w:tc>
          <w:tcPr>
            <w:tcW w:w="116" w:type="pct"/>
          </w:tcPr>
          <w:p w14:paraId="408F82E2"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Pr>
          <w:p w14:paraId="5C9CE726"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4 (17)</w:t>
            </w:r>
          </w:p>
        </w:tc>
        <w:tc>
          <w:tcPr>
            <w:tcW w:w="116" w:type="pct"/>
          </w:tcPr>
          <w:p w14:paraId="0A5C8ED9"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Pr>
          <w:p w14:paraId="1BE0DFD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5 (25)</w:t>
            </w:r>
          </w:p>
        </w:tc>
        <w:tc>
          <w:tcPr>
            <w:tcW w:w="116" w:type="pct"/>
          </w:tcPr>
          <w:p w14:paraId="1CF8201C"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Pr>
          <w:p w14:paraId="75F4A650"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2 (9)</w:t>
            </w:r>
          </w:p>
        </w:tc>
        <w:tc>
          <w:tcPr>
            <w:tcW w:w="130" w:type="pct"/>
          </w:tcPr>
          <w:p w14:paraId="459D4A97"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Pr>
          <w:p w14:paraId="3E4362B0"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0.45</w:t>
            </w:r>
          </w:p>
        </w:tc>
      </w:tr>
      <w:tr w:rsidR="00B61FA3" w:rsidRPr="00452C41" w14:paraId="72041F52"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14:paraId="0CF6D5E3" w14:textId="77777777" w:rsidR="00B61FA3" w:rsidRPr="00452C41" w:rsidRDefault="00B61FA3" w:rsidP="00B61FA3">
            <w:pPr>
              <w:rPr>
                <w:b w:val="0"/>
                <w:sz w:val="20"/>
                <w:szCs w:val="20"/>
              </w:rPr>
            </w:pPr>
            <w:r w:rsidRPr="00452C41">
              <w:rPr>
                <w:b w:val="0"/>
                <w:sz w:val="20"/>
                <w:szCs w:val="20"/>
              </w:rPr>
              <w:t>Electrocardiogram abnormalities*</w:t>
            </w:r>
          </w:p>
        </w:tc>
        <w:tc>
          <w:tcPr>
            <w:tcW w:w="394" w:type="pct"/>
          </w:tcPr>
          <w:p w14:paraId="74782B4C"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52C41">
              <w:rPr>
                <w:color w:val="000000"/>
                <w:sz w:val="20"/>
                <w:szCs w:val="20"/>
              </w:rPr>
              <w:t>1</w:t>
            </w:r>
            <w:r w:rsidRPr="00452C41">
              <w:rPr>
                <w:sz w:val="20"/>
                <w:szCs w:val="20"/>
              </w:rPr>
              <w:t xml:space="preserve"> (4)</w:t>
            </w:r>
          </w:p>
        </w:tc>
        <w:tc>
          <w:tcPr>
            <w:tcW w:w="116" w:type="pct"/>
          </w:tcPr>
          <w:p w14:paraId="4121E78A"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Pr>
          <w:p w14:paraId="4CBC6662"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 (4)</w:t>
            </w:r>
          </w:p>
        </w:tc>
        <w:tc>
          <w:tcPr>
            <w:tcW w:w="116" w:type="pct"/>
          </w:tcPr>
          <w:p w14:paraId="72B0A1DA"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Pr>
          <w:p w14:paraId="7D3E29BE"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 (5)</w:t>
            </w:r>
          </w:p>
        </w:tc>
        <w:tc>
          <w:tcPr>
            <w:tcW w:w="116" w:type="pct"/>
          </w:tcPr>
          <w:p w14:paraId="54D46079"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Pr>
          <w:p w14:paraId="7285E4EF"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30" w:type="pct"/>
          </w:tcPr>
          <w:p w14:paraId="15ACA302"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Pr>
          <w:p w14:paraId="1AF632B6"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0.89</w:t>
            </w:r>
          </w:p>
        </w:tc>
      </w:tr>
      <w:tr w:rsidR="00B61FA3" w:rsidRPr="00452C41" w14:paraId="4CBAF174" w14:textId="77777777" w:rsidTr="00B61FA3">
        <w:tc>
          <w:tcPr>
            <w:cnfStyle w:val="001000000000" w:firstRow="0" w:lastRow="0" w:firstColumn="1" w:lastColumn="0" w:oddVBand="0" w:evenVBand="0" w:oddHBand="0" w:evenHBand="0" w:firstRowFirstColumn="0" w:firstRowLastColumn="0" w:lastRowFirstColumn="0" w:lastRowLastColumn="0"/>
            <w:tcW w:w="2233" w:type="pct"/>
          </w:tcPr>
          <w:p w14:paraId="23327744" w14:textId="77777777" w:rsidR="00B61FA3" w:rsidRPr="00452C41" w:rsidRDefault="00B61FA3" w:rsidP="00B61FA3">
            <w:pPr>
              <w:rPr>
                <w:b w:val="0"/>
                <w:sz w:val="20"/>
                <w:szCs w:val="20"/>
              </w:rPr>
            </w:pPr>
            <w:r w:rsidRPr="00452C41">
              <w:rPr>
                <w:b w:val="0"/>
                <w:sz w:val="20"/>
                <w:szCs w:val="20"/>
              </w:rPr>
              <w:t xml:space="preserve">Dizziness </w:t>
            </w:r>
          </w:p>
        </w:tc>
        <w:tc>
          <w:tcPr>
            <w:tcW w:w="394" w:type="pct"/>
          </w:tcPr>
          <w:p w14:paraId="62162386"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452C41">
              <w:rPr>
                <w:color w:val="000000"/>
                <w:sz w:val="20"/>
                <w:szCs w:val="20"/>
              </w:rPr>
              <w:t>3</w:t>
            </w:r>
            <w:r w:rsidRPr="00452C41">
              <w:rPr>
                <w:sz w:val="20"/>
                <w:szCs w:val="20"/>
              </w:rPr>
              <w:t xml:space="preserve"> (13)</w:t>
            </w:r>
          </w:p>
        </w:tc>
        <w:tc>
          <w:tcPr>
            <w:tcW w:w="116" w:type="pct"/>
          </w:tcPr>
          <w:p w14:paraId="065DB1E3"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Pr>
          <w:p w14:paraId="537DFBA6"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3 (13)</w:t>
            </w:r>
          </w:p>
        </w:tc>
        <w:tc>
          <w:tcPr>
            <w:tcW w:w="116" w:type="pct"/>
          </w:tcPr>
          <w:p w14:paraId="232BF343"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Pr>
          <w:p w14:paraId="682010A7"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4 (20)</w:t>
            </w:r>
          </w:p>
        </w:tc>
        <w:tc>
          <w:tcPr>
            <w:tcW w:w="116" w:type="pct"/>
          </w:tcPr>
          <w:p w14:paraId="312BC32A"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Pr>
          <w:p w14:paraId="76EAFCB1"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30" w:type="pct"/>
          </w:tcPr>
          <w:p w14:paraId="2FED1BB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Pr>
          <w:p w14:paraId="364D40C7"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0.16</w:t>
            </w:r>
          </w:p>
        </w:tc>
      </w:tr>
      <w:tr w:rsidR="00B61FA3" w:rsidRPr="00452C41" w14:paraId="63694728"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14:paraId="3ACDBCD8" w14:textId="77777777" w:rsidR="00B61FA3" w:rsidRPr="00452C41" w:rsidRDefault="00B61FA3" w:rsidP="00B61FA3">
            <w:pPr>
              <w:rPr>
                <w:b w:val="0"/>
                <w:sz w:val="20"/>
                <w:szCs w:val="20"/>
              </w:rPr>
            </w:pPr>
            <w:r w:rsidRPr="00452C41">
              <w:rPr>
                <w:b w:val="0"/>
                <w:sz w:val="20"/>
                <w:szCs w:val="20"/>
              </w:rPr>
              <w:t>Dyspnea</w:t>
            </w:r>
          </w:p>
        </w:tc>
        <w:tc>
          <w:tcPr>
            <w:tcW w:w="394" w:type="pct"/>
          </w:tcPr>
          <w:p w14:paraId="01D26BCF"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 (4)</w:t>
            </w:r>
          </w:p>
        </w:tc>
        <w:tc>
          <w:tcPr>
            <w:tcW w:w="116" w:type="pct"/>
          </w:tcPr>
          <w:p w14:paraId="007EA6AA"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Pr>
          <w:p w14:paraId="15CC7FA9"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16" w:type="pct"/>
          </w:tcPr>
          <w:p w14:paraId="614A2DD5"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Pr>
          <w:p w14:paraId="75CD4156"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2 (10)</w:t>
            </w:r>
          </w:p>
        </w:tc>
        <w:tc>
          <w:tcPr>
            <w:tcW w:w="116" w:type="pct"/>
          </w:tcPr>
          <w:p w14:paraId="5E508769"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Pr>
          <w:p w14:paraId="5267BB0F"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30" w:type="pct"/>
          </w:tcPr>
          <w:p w14:paraId="70800836"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Pr>
          <w:p w14:paraId="7AC7F0AE"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0.17</w:t>
            </w:r>
          </w:p>
        </w:tc>
      </w:tr>
      <w:tr w:rsidR="00B61FA3" w:rsidRPr="00452C41" w14:paraId="198BF9F6" w14:textId="77777777" w:rsidTr="00B61FA3">
        <w:tc>
          <w:tcPr>
            <w:cnfStyle w:val="001000000000" w:firstRow="0" w:lastRow="0" w:firstColumn="1" w:lastColumn="0" w:oddVBand="0" w:evenVBand="0" w:oddHBand="0" w:evenHBand="0" w:firstRowFirstColumn="0" w:firstRowLastColumn="0" w:lastRowFirstColumn="0" w:lastRowLastColumn="0"/>
            <w:tcW w:w="2233" w:type="pct"/>
          </w:tcPr>
          <w:p w14:paraId="58DBC4C9" w14:textId="77777777" w:rsidR="00B61FA3" w:rsidRPr="00452C41" w:rsidRDefault="00B61FA3" w:rsidP="00B61FA3">
            <w:pPr>
              <w:rPr>
                <w:b w:val="0"/>
                <w:sz w:val="20"/>
                <w:szCs w:val="20"/>
              </w:rPr>
            </w:pPr>
            <w:r w:rsidRPr="00452C41">
              <w:rPr>
                <w:b w:val="0"/>
                <w:sz w:val="20"/>
                <w:szCs w:val="20"/>
              </w:rPr>
              <w:t>Headache</w:t>
            </w:r>
          </w:p>
        </w:tc>
        <w:tc>
          <w:tcPr>
            <w:tcW w:w="394" w:type="pct"/>
          </w:tcPr>
          <w:p w14:paraId="02194B82"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1 (4)</w:t>
            </w:r>
          </w:p>
        </w:tc>
        <w:tc>
          <w:tcPr>
            <w:tcW w:w="116" w:type="pct"/>
          </w:tcPr>
          <w:p w14:paraId="1F7270B4"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Pr>
          <w:p w14:paraId="045A5EE5"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2 (9)</w:t>
            </w:r>
          </w:p>
        </w:tc>
        <w:tc>
          <w:tcPr>
            <w:tcW w:w="116" w:type="pct"/>
          </w:tcPr>
          <w:p w14:paraId="19F735D6"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Pr>
          <w:p w14:paraId="3BD90086"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1 (5)</w:t>
            </w:r>
          </w:p>
        </w:tc>
        <w:tc>
          <w:tcPr>
            <w:tcW w:w="116" w:type="pct"/>
          </w:tcPr>
          <w:p w14:paraId="0EF5EDD9"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Pr>
          <w:p w14:paraId="0BB2572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30" w:type="pct"/>
          </w:tcPr>
          <w:p w14:paraId="53C64B4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Pr>
          <w:p w14:paraId="7942FA5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0.63</w:t>
            </w:r>
          </w:p>
        </w:tc>
      </w:tr>
      <w:tr w:rsidR="00B61FA3" w:rsidRPr="00452C41" w14:paraId="4CCB8DEE"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14:paraId="2A011821" w14:textId="77777777" w:rsidR="00B61FA3" w:rsidRPr="00452C41" w:rsidRDefault="00B61FA3" w:rsidP="00B61FA3">
            <w:pPr>
              <w:rPr>
                <w:b w:val="0"/>
                <w:sz w:val="20"/>
                <w:szCs w:val="20"/>
              </w:rPr>
            </w:pPr>
            <w:r w:rsidRPr="00452C41">
              <w:rPr>
                <w:b w:val="0"/>
                <w:sz w:val="20"/>
                <w:szCs w:val="20"/>
              </w:rPr>
              <w:t>Low oxygen saturation</w:t>
            </w:r>
          </w:p>
        </w:tc>
        <w:tc>
          <w:tcPr>
            <w:tcW w:w="394" w:type="pct"/>
          </w:tcPr>
          <w:p w14:paraId="0707619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16" w:type="pct"/>
          </w:tcPr>
          <w:p w14:paraId="413788CA"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Pr>
          <w:p w14:paraId="0A878A4C"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 (4)</w:t>
            </w:r>
          </w:p>
        </w:tc>
        <w:tc>
          <w:tcPr>
            <w:tcW w:w="116" w:type="pct"/>
          </w:tcPr>
          <w:p w14:paraId="0CD14214"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Pr>
          <w:p w14:paraId="52E0C325"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2 (10)</w:t>
            </w:r>
          </w:p>
        </w:tc>
        <w:tc>
          <w:tcPr>
            <w:tcW w:w="116" w:type="pct"/>
          </w:tcPr>
          <w:p w14:paraId="13AB4008"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Pr>
          <w:p w14:paraId="2BC4215D"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30" w:type="pct"/>
          </w:tcPr>
          <w:p w14:paraId="1E40B7F1"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Pr>
          <w:p w14:paraId="33DD5325"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0.13</w:t>
            </w:r>
          </w:p>
        </w:tc>
      </w:tr>
      <w:tr w:rsidR="00B61FA3" w:rsidRPr="00452C41" w14:paraId="46C4C8A8" w14:textId="77777777" w:rsidTr="00B61FA3">
        <w:tc>
          <w:tcPr>
            <w:cnfStyle w:val="001000000000" w:firstRow="0" w:lastRow="0" w:firstColumn="1" w:lastColumn="0" w:oddVBand="0" w:evenVBand="0" w:oddHBand="0" w:evenHBand="0" w:firstRowFirstColumn="0" w:firstRowLastColumn="0" w:lastRowFirstColumn="0" w:lastRowLastColumn="0"/>
            <w:tcW w:w="2233" w:type="pct"/>
          </w:tcPr>
          <w:p w14:paraId="3810B4FC" w14:textId="77777777" w:rsidR="00B61FA3" w:rsidRPr="00452C41" w:rsidRDefault="00B61FA3" w:rsidP="00B61FA3">
            <w:pPr>
              <w:rPr>
                <w:b w:val="0"/>
                <w:sz w:val="20"/>
                <w:szCs w:val="20"/>
              </w:rPr>
            </w:pPr>
            <w:r w:rsidRPr="00452C41">
              <w:rPr>
                <w:b w:val="0"/>
                <w:sz w:val="20"/>
                <w:szCs w:val="20"/>
              </w:rPr>
              <w:t>General fatigue</w:t>
            </w:r>
          </w:p>
        </w:tc>
        <w:tc>
          <w:tcPr>
            <w:tcW w:w="394" w:type="pct"/>
          </w:tcPr>
          <w:p w14:paraId="73FBF2F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452C41">
              <w:rPr>
                <w:color w:val="000000"/>
                <w:sz w:val="20"/>
                <w:szCs w:val="20"/>
              </w:rPr>
              <w:t>2 (8)</w:t>
            </w:r>
          </w:p>
        </w:tc>
        <w:tc>
          <w:tcPr>
            <w:tcW w:w="116" w:type="pct"/>
          </w:tcPr>
          <w:p w14:paraId="23A61D7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Pr>
          <w:p w14:paraId="36C54FB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5 (22)</w:t>
            </w:r>
          </w:p>
        </w:tc>
        <w:tc>
          <w:tcPr>
            <w:tcW w:w="116" w:type="pct"/>
          </w:tcPr>
          <w:p w14:paraId="4A91335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Pr>
          <w:p w14:paraId="3F6B9275"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5 (25)</w:t>
            </w:r>
          </w:p>
        </w:tc>
        <w:tc>
          <w:tcPr>
            <w:tcW w:w="116" w:type="pct"/>
          </w:tcPr>
          <w:p w14:paraId="1CDE6407"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Pr>
          <w:p w14:paraId="1AB02C00"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1 (4)</w:t>
            </w:r>
          </w:p>
        </w:tc>
        <w:tc>
          <w:tcPr>
            <w:tcW w:w="130" w:type="pct"/>
          </w:tcPr>
          <w:p w14:paraId="7394AC1A"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Pr>
          <w:p w14:paraId="299B52D0"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0.16</w:t>
            </w:r>
          </w:p>
        </w:tc>
      </w:tr>
      <w:tr w:rsidR="00B61FA3" w:rsidRPr="00452C41" w14:paraId="221402B0"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14:paraId="0652BFBC" w14:textId="77777777" w:rsidR="00B61FA3" w:rsidRPr="00452C41" w:rsidRDefault="00B61FA3" w:rsidP="00B61FA3">
            <w:pPr>
              <w:rPr>
                <w:b w:val="0"/>
                <w:sz w:val="20"/>
                <w:szCs w:val="20"/>
              </w:rPr>
            </w:pPr>
            <w:r w:rsidRPr="00452C41">
              <w:rPr>
                <w:b w:val="0"/>
                <w:sz w:val="20"/>
                <w:szCs w:val="20"/>
              </w:rPr>
              <w:t>Pain in extremity</w:t>
            </w:r>
          </w:p>
        </w:tc>
        <w:tc>
          <w:tcPr>
            <w:tcW w:w="394" w:type="pct"/>
          </w:tcPr>
          <w:p w14:paraId="2F923596"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52C41">
              <w:rPr>
                <w:color w:val="000000"/>
                <w:sz w:val="20"/>
                <w:szCs w:val="20"/>
              </w:rPr>
              <w:t>2 (8)</w:t>
            </w:r>
          </w:p>
        </w:tc>
        <w:tc>
          <w:tcPr>
            <w:tcW w:w="116" w:type="pct"/>
          </w:tcPr>
          <w:p w14:paraId="171E8E5E"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Pr>
          <w:p w14:paraId="0A485B95"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5 (22)</w:t>
            </w:r>
          </w:p>
        </w:tc>
        <w:tc>
          <w:tcPr>
            <w:tcW w:w="116" w:type="pct"/>
          </w:tcPr>
          <w:p w14:paraId="14EE15C9"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Pr>
          <w:p w14:paraId="0CC66B68"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4 (20)</w:t>
            </w:r>
          </w:p>
        </w:tc>
        <w:tc>
          <w:tcPr>
            <w:tcW w:w="116" w:type="pct"/>
          </w:tcPr>
          <w:p w14:paraId="33132EC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Pr>
          <w:p w14:paraId="01F6526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30" w:type="pct"/>
          </w:tcPr>
          <w:p w14:paraId="61C3DF2E"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Pr>
          <w:p w14:paraId="3255D689"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0.06</w:t>
            </w:r>
          </w:p>
        </w:tc>
      </w:tr>
      <w:tr w:rsidR="00B61FA3" w:rsidRPr="00452C41" w14:paraId="142EAF2E" w14:textId="77777777" w:rsidTr="00B61FA3">
        <w:tc>
          <w:tcPr>
            <w:cnfStyle w:val="001000000000" w:firstRow="0" w:lastRow="0" w:firstColumn="1" w:lastColumn="0" w:oddVBand="0" w:evenVBand="0" w:oddHBand="0" w:evenHBand="0" w:firstRowFirstColumn="0" w:firstRowLastColumn="0" w:lastRowFirstColumn="0" w:lastRowLastColumn="0"/>
            <w:tcW w:w="2233" w:type="pct"/>
          </w:tcPr>
          <w:p w14:paraId="74B7E743" w14:textId="77777777" w:rsidR="00B61FA3" w:rsidRPr="00452C41" w:rsidRDefault="00B61FA3" w:rsidP="00B61FA3">
            <w:pPr>
              <w:rPr>
                <w:b w:val="0"/>
                <w:sz w:val="20"/>
                <w:szCs w:val="20"/>
              </w:rPr>
            </w:pPr>
            <w:r w:rsidRPr="00452C41">
              <w:rPr>
                <w:b w:val="0"/>
                <w:sz w:val="20"/>
                <w:szCs w:val="20"/>
              </w:rPr>
              <w:t>Lower extremity fatigue</w:t>
            </w:r>
          </w:p>
        </w:tc>
        <w:tc>
          <w:tcPr>
            <w:tcW w:w="394" w:type="pct"/>
          </w:tcPr>
          <w:p w14:paraId="4E2FE090"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452C41">
              <w:rPr>
                <w:color w:val="000000"/>
                <w:sz w:val="20"/>
                <w:szCs w:val="20"/>
              </w:rPr>
              <w:t>2 (8)</w:t>
            </w:r>
          </w:p>
        </w:tc>
        <w:tc>
          <w:tcPr>
            <w:tcW w:w="116" w:type="pct"/>
          </w:tcPr>
          <w:p w14:paraId="1DC6CB75"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Pr>
          <w:p w14:paraId="6E78047E"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16" w:type="pct"/>
          </w:tcPr>
          <w:p w14:paraId="0D51506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Pr>
          <w:p w14:paraId="03877324"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4 (20)</w:t>
            </w:r>
          </w:p>
        </w:tc>
        <w:tc>
          <w:tcPr>
            <w:tcW w:w="116" w:type="pct"/>
          </w:tcPr>
          <w:p w14:paraId="7E58E41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Pr>
          <w:p w14:paraId="3334745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30" w:type="pct"/>
          </w:tcPr>
          <w:p w14:paraId="7E6124C5"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Pr>
          <w:p w14:paraId="6FCC859C"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0.02</w:t>
            </w:r>
          </w:p>
        </w:tc>
      </w:tr>
      <w:tr w:rsidR="00B61FA3" w:rsidRPr="00452C41" w14:paraId="0CA91141"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14:paraId="5E0334C7" w14:textId="77777777" w:rsidR="00B61FA3" w:rsidRPr="00452C41" w:rsidRDefault="00B61FA3" w:rsidP="00B61FA3">
            <w:pPr>
              <w:rPr>
                <w:b w:val="0"/>
                <w:sz w:val="20"/>
                <w:szCs w:val="20"/>
              </w:rPr>
            </w:pPr>
            <w:r w:rsidRPr="00452C41">
              <w:rPr>
                <w:b w:val="0"/>
                <w:sz w:val="20"/>
                <w:szCs w:val="20"/>
              </w:rPr>
              <w:t>Muscle Soreness</w:t>
            </w:r>
          </w:p>
        </w:tc>
        <w:tc>
          <w:tcPr>
            <w:tcW w:w="394" w:type="pct"/>
          </w:tcPr>
          <w:p w14:paraId="3C0C918E"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52C41">
              <w:rPr>
                <w:sz w:val="20"/>
                <w:szCs w:val="20"/>
              </w:rPr>
              <w:t>0 (0)</w:t>
            </w:r>
          </w:p>
        </w:tc>
        <w:tc>
          <w:tcPr>
            <w:tcW w:w="116" w:type="pct"/>
          </w:tcPr>
          <w:p w14:paraId="4938D791"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Pr>
          <w:p w14:paraId="24B2AD7E"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4 (17)</w:t>
            </w:r>
          </w:p>
        </w:tc>
        <w:tc>
          <w:tcPr>
            <w:tcW w:w="116" w:type="pct"/>
          </w:tcPr>
          <w:p w14:paraId="75B6901D"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Pr>
          <w:p w14:paraId="77C3A47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4 (20)</w:t>
            </w:r>
          </w:p>
        </w:tc>
        <w:tc>
          <w:tcPr>
            <w:tcW w:w="116" w:type="pct"/>
          </w:tcPr>
          <w:p w14:paraId="278953DB"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Pr>
          <w:p w14:paraId="5A62BE51"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30" w:type="pct"/>
          </w:tcPr>
          <w:p w14:paraId="192C0763"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Pr>
          <w:p w14:paraId="49243243"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0.008</w:t>
            </w:r>
          </w:p>
        </w:tc>
      </w:tr>
      <w:tr w:rsidR="00B61FA3" w:rsidRPr="00452C41" w14:paraId="60329A6D" w14:textId="77777777" w:rsidTr="00B61FA3">
        <w:tc>
          <w:tcPr>
            <w:cnfStyle w:val="001000000000" w:firstRow="0" w:lastRow="0" w:firstColumn="1" w:lastColumn="0" w:oddVBand="0" w:evenVBand="0" w:oddHBand="0" w:evenHBand="0" w:firstRowFirstColumn="0" w:firstRowLastColumn="0" w:lastRowFirstColumn="0" w:lastRowLastColumn="0"/>
            <w:tcW w:w="2233" w:type="pct"/>
          </w:tcPr>
          <w:p w14:paraId="4D07A714" w14:textId="77777777" w:rsidR="00B61FA3" w:rsidRPr="00452C41" w:rsidRDefault="00B61FA3" w:rsidP="00B61FA3">
            <w:pPr>
              <w:rPr>
                <w:b w:val="0"/>
                <w:sz w:val="20"/>
                <w:szCs w:val="20"/>
              </w:rPr>
            </w:pPr>
            <w:r w:rsidRPr="00452C41">
              <w:rPr>
                <w:b w:val="0"/>
                <w:sz w:val="20"/>
                <w:szCs w:val="20"/>
              </w:rPr>
              <w:t>Peripheral motor neuropathy</w:t>
            </w:r>
          </w:p>
        </w:tc>
        <w:tc>
          <w:tcPr>
            <w:tcW w:w="394" w:type="pct"/>
          </w:tcPr>
          <w:p w14:paraId="39A19A82"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16" w:type="pct"/>
          </w:tcPr>
          <w:p w14:paraId="07B14AD1"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Pr>
          <w:p w14:paraId="378FE262"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16" w:type="pct"/>
          </w:tcPr>
          <w:p w14:paraId="25EC94C2"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Pr>
          <w:p w14:paraId="00139113"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16" w:type="pct"/>
          </w:tcPr>
          <w:p w14:paraId="09B13B0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Pr>
          <w:p w14:paraId="6F324D10"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30" w:type="pct"/>
          </w:tcPr>
          <w:p w14:paraId="77C35E48"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Pr>
          <w:p w14:paraId="1D04E785"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w:t>
            </w:r>
          </w:p>
        </w:tc>
      </w:tr>
      <w:tr w:rsidR="00B61FA3" w:rsidRPr="00452C41" w14:paraId="4B1ADD6F" w14:textId="77777777" w:rsidTr="00B6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14:paraId="105B41E2" w14:textId="77777777" w:rsidR="00B61FA3" w:rsidRPr="00452C41" w:rsidRDefault="00B61FA3" w:rsidP="00B61FA3">
            <w:pPr>
              <w:rPr>
                <w:b w:val="0"/>
                <w:sz w:val="20"/>
                <w:szCs w:val="20"/>
              </w:rPr>
            </w:pPr>
            <w:r w:rsidRPr="00452C41">
              <w:rPr>
                <w:b w:val="0"/>
                <w:sz w:val="20"/>
                <w:szCs w:val="20"/>
              </w:rPr>
              <w:t>Sick</w:t>
            </w:r>
          </w:p>
        </w:tc>
        <w:tc>
          <w:tcPr>
            <w:tcW w:w="394" w:type="pct"/>
          </w:tcPr>
          <w:p w14:paraId="17FB3F5D"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1 (4)</w:t>
            </w:r>
          </w:p>
        </w:tc>
        <w:tc>
          <w:tcPr>
            <w:tcW w:w="116" w:type="pct"/>
          </w:tcPr>
          <w:p w14:paraId="1CBA9879"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8" w:type="pct"/>
          </w:tcPr>
          <w:p w14:paraId="3D780A96"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5 (22)</w:t>
            </w:r>
          </w:p>
        </w:tc>
        <w:tc>
          <w:tcPr>
            <w:tcW w:w="116" w:type="pct"/>
          </w:tcPr>
          <w:p w14:paraId="413AF1E9"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tcPr>
          <w:p w14:paraId="0D5F542F"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5 (25)</w:t>
            </w:r>
          </w:p>
        </w:tc>
        <w:tc>
          <w:tcPr>
            <w:tcW w:w="116" w:type="pct"/>
          </w:tcPr>
          <w:p w14:paraId="1D2D4F11"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0" w:type="pct"/>
          </w:tcPr>
          <w:p w14:paraId="6E3EF74B"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 (0)</w:t>
            </w:r>
          </w:p>
        </w:tc>
        <w:tc>
          <w:tcPr>
            <w:tcW w:w="130" w:type="pct"/>
          </w:tcPr>
          <w:p w14:paraId="00A1FA53"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8" w:type="pct"/>
          </w:tcPr>
          <w:p w14:paraId="610D0237" w14:textId="77777777" w:rsidR="00B61FA3" w:rsidRPr="00452C41" w:rsidRDefault="00B61FA3" w:rsidP="00B61FA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2C41">
              <w:rPr>
                <w:sz w:val="20"/>
                <w:szCs w:val="20"/>
              </w:rPr>
              <w:t>0.01</w:t>
            </w:r>
          </w:p>
        </w:tc>
      </w:tr>
      <w:tr w:rsidR="00B61FA3" w:rsidRPr="00452C41" w14:paraId="610CDB2D" w14:textId="77777777" w:rsidTr="00B61FA3">
        <w:tc>
          <w:tcPr>
            <w:cnfStyle w:val="001000000000" w:firstRow="0" w:lastRow="0" w:firstColumn="1" w:lastColumn="0" w:oddVBand="0" w:evenVBand="0" w:oddHBand="0" w:evenHBand="0" w:firstRowFirstColumn="0" w:firstRowLastColumn="0" w:lastRowFirstColumn="0" w:lastRowLastColumn="0"/>
            <w:tcW w:w="2233" w:type="pct"/>
            <w:tcBorders>
              <w:bottom w:val="single" w:sz="4" w:space="0" w:color="auto"/>
            </w:tcBorders>
          </w:tcPr>
          <w:p w14:paraId="60ADCE61" w14:textId="77777777" w:rsidR="00B61FA3" w:rsidRPr="00452C41" w:rsidRDefault="00B61FA3" w:rsidP="00B61FA3">
            <w:pPr>
              <w:rPr>
                <w:b w:val="0"/>
                <w:sz w:val="20"/>
                <w:szCs w:val="20"/>
              </w:rPr>
            </w:pPr>
            <w:r w:rsidRPr="00452C41">
              <w:rPr>
                <w:b w:val="0"/>
                <w:sz w:val="20"/>
                <w:szCs w:val="20"/>
              </w:rPr>
              <w:t>Other</w:t>
            </w:r>
          </w:p>
        </w:tc>
        <w:tc>
          <w:tcPr>
            <w:tcW w:w="394" w:type="pct"/>
            <w:tcBorders>
              <w:bottom w:val="single" w:sz="4" w:space="0" w:color="auto"/>
            </w:tcBorders>
          </w:tcPr>
          <w:p w14:paraId="06D33E07"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16" w:type="pct"/>
            <w:tcBorders>
              <w:bottom w:val="single" w:sz="4" w:space="0" w:color="auto"/>
            </w:tcBorders>
          </w:tcPr>
          <w:p w14:paraId="70FF3D66"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38" w:type="pct"/>
            <w:tcBorders>
              <w:bottom w:val="single" w:sz="4" w:space="0" w:color="auto"/>
            </w:tcBorders>
          </w:tcPr>
          <w:p w14:paraId="0AE36E5D"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2 (9)</w:t>
            </w:r>
          </w:p>
        </w:tc>
        <w:tc>
          <w:tcPr>
            <w:tcW w:w="116" w:type="pct"/>
            <w:tcBorders>
              <w:bottom w:val="single" w:sz="4" w:space="0" w:color="auto"/>
            </w:tcBorders>
          </w:tcPr>
          <w:p w14:paraId="520DA673"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Borders>
              <w:bottom w:val="single" w:sz="4" w:space="0" w:color="auto"/>
            </w:tcBorders>
          </w:tcPr>
          <w:p w14:paraId="70B75A3F"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1 (5)</w:t>
            </w:r>
          </w:p>
        </w:tc>
        <w:tc>
          <w:tcPr>
            <w:tcW w:w="116" w:type="pct"/>
            <w:tcBorders>
              <w:bottom w:val="single" w:sz="4" w:space="0" w:color="auto"/>
            </w:tcBorders>
          </w:tcPr>
          <w:p w14:paraId="450E263C"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0" w:type="pct"/>
            <w:tcBorders>
              <w:bottom w:val="single" w:sz="4" w:space="0" w:color="auto"/>
            </w:tcBorders>
          </w:tcPr>
          <w:p w14:paraId="4ADDB5AC"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 (0)</w:t>
            </w:r>
          </w:p>
        </w:tc>
        <w:tc>
          <w:tcPr>
            <w:tcW w:w="130" w:type="pct"/>
            <w:tcBorders>
              <w:bottom w:val="single" w:sz="4" w:space="0" w:color="auto"/>
            </w:tcBorders>
          </w:tcPr>
          <w:p w14:paraId="368F5436"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8" w:type="pct"/>
            <w:tcBorders>
              <w:bottom w:val="single" w:sz="4" w:space="0" w:color="auto"/>
            </w:tcBorders>
          </w:tcPr>
          <w:p w14:paraId="339E7575" w14:textId="77777777" w:rsidR="00B61FA3" w:rsidRPr="00452C41" w:rsidRDefault="00B61FA3" w:rsidP="00B61FA3">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2C41">
              <w:rPr>
                <w:sz w:val="20"/>
                <w:szCs w:val="20"/>
              </w:rPr>
              <w:t>0.26</w:t>
            </w:r>
          </w:p>
        </w:tc>
      </w:tr>
    </w:tbl>
    <w:p w14:paraId="454126BD" w14:textId="77777777" w:rsidR="00B61FA3" w:rsidRPr="00452C41" w:rsidRDefault="00B61FA3" w:rsidP="00B61FA3">
      <w:pPr>
        <w:rPr>
          <w:rFonts w:eastAsia="Calibri"/>
          <w:bCs/>
          <w:sz w:val="20"/>
          <w:szCs w:val="20"/>
        </w:rPr>
      </w:pPr>
    </w:p>
    <w:p w14:paraId="6F77EEE2" w14:textId="77777777" w:rsidR="00B61FA3" w:rsidRPr="00452C41" w:rsidRDefault="00B61FA3" w:rsidP="00B61FA3">
      <w:pPr>
        <w:rPr>
          <w:sz w:val="20"/>
          <w:szCs w:val="20"/>
        </w:rPr>
      </w:pPr>
      <w:r w:rsidRPr="00452C41">
        <w:rPr>
          <w:sz w:val="20"/>
          <w:szCs w:val="20"/>
        </w:rPr>
        <w:t>†Fisher’s exact test for differences across four groups.</w:t>
      </w:r>
    </w:p>
    <w:p w14:paraId="67144637" w14:textId="77777777" w:rsidR="00B61FA3" w:rsidRPr="00452C41" w:rsidRDefault="00B61FA3" w:rsidP="00B61FA3">
      <w:pPr>
        <w:rPr>
          <w:rFonts w:eastAsia="Calibri"/>
          <w:bCs/>
          <w:sz w:val="20"/>
          <w:szCs w:val="20"/>
        </w:rPr>
      </w:pPr>
      <w:r w:rsidRPr="00452C41">
        <w:rPr>
          <w:rFonts w:eastAsia="Calibri"/>
          <w:bCs/>
          <w:sz w:val="20"/>
          <w:szCs w:val="20"/>
        </w:rPr>
        <w:t>*Adverse event during cardiopulmonary exercise test</w:t>
      </w:r>
    </w:p>
    <w:p w14:paraId="0FD69E66" w14:textId="77777777" w:rsidR="00B61FA3" w:rsidRPr="00452C41" w:rsidRDefault="00B61FA3" w:rsidP="00B61FA3">
      <w:pPr>
        <w:rPr>
          <w:rFonts w:eastAsia="Calibri"/>
          <w:bCs/>
          <w:sz w:val="20"/>
          <w:szCs w:val="20"/>
        </w:rPr>
      </w:pPr>
      <w:r w:rsidRPr="00452C41">
        <w:rPr>
          <w:rFonts w:eastAsia="Calibri"/>
          <w:bCs/>
          <w:sz w:val="20"/>
          <w:szCs w:val="20"/>
        </w:rPr>
        <w:t>Data presented as number of patients (%)</w:t>
      </w:r>
    </w:p>
    <w:p w14:paraId="3787708B" w14:textId="77777777" w:rsidR="00B61FA3" w:rsidRPr="00452C41" w:rsidRDefault="00B61FA3" w:rsidP="00B61FA3">
      <w:pPr>
        <w:spacing w:after="160" w:line="259" w:lineRule="auto"/>
        <w:rPr>
          <w:b/>
          <w:sz w:val="20"/>
          <w:szCs w:val="20"/>
        </w:rPr>
      </w:pPr>
      <w:r w:rsidRPr="00452C41">
        <w:rPr>
          <w:b/>
          <w:sz w:val="20"/>
          <w:szCs w:val="20"/>
        </w:rPr>
        <w:t xml:space="preserve">Abbreviations: </w:t>
      </w:r>
      <w:r w:rsidRPr="00452C41">
        <w:rPr>
          <w:sz w:val="20"/>
          <w:szCs w:val="20"/>
        </w:rPr>
        <w:t>AC, attention control, AT, aerobic training; RT, resistance training; CT, combination training.</w:t>
      </w:r>
    </w:p>
    <w:p w14:paraId="5E4078E4" w14:textId="027BB5FD" w:rsidR="004A202F" w:rsidRPr="00452C41" w:rsidRDefault="004A202F">
      <w:pPr>
        <w:rPr>
          <w:b/>
          <w:sz w:val="20"/>
          <w:szCs w:val="20"/>
        </w:rPr>
      </w:pPr>
      <w:r w:rsidRPr="00452C41">
        <w:rPr>
          <w:b/>
          <w:sz w:val="20"/>
          <w:szCs w:val="20"/>
        </w:rPr>
        <w:br w:type="page"/>
      </w:r>
    </w:p>
    <w:p w14:paraId="3E3B845C" w14:textId="22B8CE44" w:rsidR="00822220" w:rsidRPr="00452C41" w:rsidRDefault="00822220" w:rsidP="00115DBF">
      <w:pPr>
        <w:rPr>
          <w:sz w:val="20"/>
          <w:szCs w:val="20"/>
        </w:rPr>
        <w:sectPr w:rsidR="00822220" w:rsidRPr="00452C41" w:rsidSect="00F31517">
          <w:headerReference w:type="even" r:id="rId11"/>
          <w:headerReference w:type="default" r:id="rId12"/>
          <w:footerReference w:type="default" r:id="rId13"/>
          <w:pgSz w:w="15840" w:h="12240" w:orient="landscape"/>
          <w:pgMar w:top="720" w:right="720" w:bottom="720" w:left="720" w:header="720" w:footer="720" w:gutter="0"/>
          <w:cols w:space="720"/>
          <w:noEndnote/>
          <w:docGrid w:linePitch="326"/>
        </w:sectPr>
      </w:pPr>
    </w:p>
    <w:p w14:paraId="0E1F379B" w14:textId="77777777" w:rsidR="004913B9" w:rsidRPr="00452C41" w:rsidRDefault="004913B9" w:rsidP="00C213EF">
      <w:pPr>
        <w:spacing w:line="360" w:lineRule="auto"/>
        <w:rPr>
          <w:b/>
          <w:sz w:val="20"/>
          <w:szCs w:val="20"/>
        </w:rPr>
      </w:pPr>
    </w:p>
    <w:p w14:paraId="2B8EBD1A" w14:textId="7EB3D065" w:rsidR="00AB3F7F" w:rsidRPr="00452C41" w:rsidRDefault="00541DC4" w:rsidP="002436C6">
      <w:pPr>
        <w:spacing w:line="360" w:lineRule="auto"/>
        <w:rPr>
          <w:sz w:val="20"/>
          <w:szCs w:val="20"/>
        </w:rPr>
      </w:pPr>
      <w:r>
        <w:rPr>
          <w:b/>
          <w:sz w:val="20"/>
          <w:szCs w:val="20"/>
        </w:rPr>
        <w:t>Supplementary</w:t>
      </w:r>
      <w:r w:rsidRPr="00452C41">
        <w:rPr>
          <w:b/>
          <w:sz w:val="20"/>
          <w:szCs w:val="20"/>
        </w:rPr>
        <w:t xml:space="preserve"> </w:t>
      </w:r>
      <w:r w:rsidR="00AB3F7F" w:rsidRPr="00452C41">
        <w:rPr>
          <w:b/>
          <w:sz w:val="20"/>
          <w:szCs w:val="20"/>
        </w:rPr>
        <w:t xml:space="preserve">Figure 1. </w:t>
      </w:r>
      <w:r w:rsidR="00661715" w:rsidRPr="00452C41">
        <w:rPr>
          <w:sz w:val="20"/>
          <w:szCs w:val="20"/>
        </w:rPr>
        <w:t>Comparison of</w:t>
      </w:r>
      <w:r w:rsidR="00661715" w:rsidRPr="00452C41">
        <w:rPr>
          <w:b/>
          <w:sz w:val="20"/>
          <w:szCs w:val="20"/>
        </w:rPr>
        <w:t xml:space="preserve"> </w:t>
      </w:r>
      <w:r w:rsidR="004229D9" w:rsidRPr="00452C41">
        <w:rPr>
          <w:sz w:val="20"/>
          <w:szCs w:val="20"/>
        </w:rPr>
        <w:t xml:space="preserve">Cardiorespiratory Fitness </w:t>
      </w:r>
      <w:r w:rsidR="00661715" w:rsidRPr="00452C41">
        <w:rPr>
          <w:sz w:val="20"/>
          <w:szCs w:val="20"/>
        </w:rPr>
        <w:t xml:space="preserve">Between the Two </w:t>
      </w:r>
      <w:bookmarkStart w:id="14" w:name="_GoBack"/>
      <w:bookmarkEnd w:id="14"/>
      <w:r w:rsidR="00661715" w:rsidRPr="00452C41">
        <w:rPr>
          <w:sz w:val="20"/>
          <w:szCs w:val="20"/>
        </w:rPr>
        <w:t xml:space="preserve">Cardiopulmonary Exercise Tests </w:t>
      </w:r>
      <w:r w:rsidR="002957F7" w:rsidRPr="00452C41">
        <w:rPr>
          <w:sz w:val="20"/>
          <w:szCs w:val="20"/>
        </w:rPr>
        <w:t xml:space="preserve">(CPET) </w:t>
      </w:r>
      <w:r w:rsidR="00661715" w:rsidRPr="00452C41">
        <w:rPr>
          <w:sz w:val="20"/>
          <w:szCs w:val="20"/>
        </w:rPr>
        <w:t>Conducted at Pre-Randomization.</w:t>
      </w:r>
    </w:p>
    <w:p w14:paraId="220A90A4" w14:textId="08D5CF6B" w:rsidR="00AB3F7F" w:rsidRPr="00452C41" w:rsidRDefault="00AB3F7F" w:rsidP="002436C6">
      <w:pPr>
        <w:spacing w:line="360" w:lineRule="auto"/>
        <w:rPr>
          <w:sz w:val="20"/>
          <w:szCs w:val="20"/>
        </w:rPr>
      </w:pPr>
    </w:p>
    <w:p w14:paraId="0D83030E" w14:textId="78D5BB44" w:rsidR="00AB3F7F" w:rsidRPr="00452C41" w:rsidRDefault="00AB3F7F" w:rsidP="002436C6">
      <w:pPr>
        <w:spacing w:line="360" w:lineRule="auto"/>
        <w:rPr>
          <w:sz w:val="20"/>
          <w:szCs w:val="20"/>
        </w:rPr>
      </w:pPr>
    </w:p>
    <w:p w14:paraId="3A7E1424" w14:textId="36E4AFCA" w:rsidR="00AB3F7F" w:rsidRPr="00452C41" w:rsidRDefault="00B95039" w:rsidP="002957F7">
      <w:pPr>
        <w:spacing w:line="360" w:lineRule="auto"/>
        <w:jc w:val="center"/>
        <w:rPr>
          <w:sz w:val="20"/>
          <w:szCs w:val="20"/>
        </w:rPr>
        <w:sectPr w:rsidR="00AB3F7F" w:rsidRPr="00452C41" w:rsidSect="00A43402">
          <w:pgSz w:w="12240" w:h="15840"/>
          <w:pgMar w:top="720" w:right="720" w:bottom="720" w:left="720" w:header="720" w:footer="720" w:gutter="0"/>
          <w:cols w:space="720"/>
          <w:noEndnote/>
          <w:docGrid w:linePitch="326"/>
        </w:sectPr>
      </w:pPr>
      <w:r w:rsidRPr="00452C41">
        <w:rPr>
          <w:noProof/>
          <w:sz w:val="20"/>
          <w:szCs w:val="20"/>
        </w:rPr>
        <w:drawing>
          <wp:inline distT="0" distB="0" distL="0" distR="0" wp14:anchorId="5820F107" wp14:editId="01CD3BCA">
            <wp:extent cx="5264785" cy="3254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407" cy="3256386"/>
                    </a:xfrm>
                    <a:prstGeom prst="rect">
                      <a:avLst/>
                    </a:prstGeom>
                    <a:noFill/>
                  </pic:spPr>
                </pic:pic>
              </a:graphicData>
            </a:graphic>
          </wp:inline>
        </w:drawing>
      </w:r>
    </w:p>
    <w:p w14:paraId="2B639DB8" w14:textId="0ADBE7D7" w:rsidR="00CE062B" w:rsidRPr="00452C41" w:rsidRDefault="00541DC4" w:rsidP="00191857">
      <w:pPr>
        <w:spacing w:after="160" w:line="259" w:lineRule="auto"/>
        <w:rPr>
          <w:b/>
          <w:sz w:val="20"/>
          <w:szCs w:val="20"/>
        </w:rPr>
      </w:pPr>
      <w:r>
        <w:rPr>
          <w:b/>
          <w:sz w:val="20"/>
          <w:szCs w:val="20"/>
        </w:rPr>
        <w:lastRenderedPageBreak/>
        <w:t>Supplementary</w:t>
      </w:r>
      <w:r w:rsidRPr="00452C41">
        <w:rPr>
          <w:b/>
          <w:sz w:val="20"/>
          <w:szCs w:val="20"/>
        </w:rPr>
        <w:t xml:space="preserve"> </w:t>
      </w:r>
      <w:r w:rsidR="00CE062B" w:rsidRPr="00452C41">
        <w:rPr>
          <w:b/>
          <w:sz w:val="20"/>
          <w:szCs w:val="20"/>
        </w:rPr>
        <w:t>References</w:t>
      </w:r>
    </w:p>
    <w:p w14:paraId="2558314C" w14:textId="77777777" w:rsidR="00C43AC3" w:rsidRPr="00C43AC3" w:rsidRDefault="00DB4BB2" w:rsidP="00C43AC3">
      <w:pPr>
        <w:pStyle w:val="EndNoteBibliography"/>
        <w:ind w:left="720" w:hanging="720"/>
      </w:pPr>
      <w:r w:rsidRPr="00452C41">
        <w:rPr>
          <w:sz w:val="20"/>
          <w:szCs w:val="20"/>
        </w:rPr>
        <w:fldChar w:fldCharType="begin"/>
      </w:r>
      <w:r w:rsidR="00437C8A" w:rsidRPr="00452C41">
        <w:rPr>
          <w:sz w:val="20"/>
          <w:szCs w:val="20"/>
        </w:rPr>
        <w:instrText xml:space="preserve"> ADDIN EN.REFLIST </w:instrText>
      </w:r>
      <w:r w:rsidRPr="00452C41">
        <w:rPr>
          <w:sz w:val="20"/>
          <w:szCs w:val="20"/>
        </w:rPr>
        <w:fldChar w:fldCharType="separate"/>
      </w:r>
      <w:r w:rsidR="00C43AC3" w:rsidRPr="00C43AC3">
        <w:t>1.</w:t>
      </w:r>
      <w:r w:rsidR="00C43AC3" w:rsidRPr="00C43AC3">
        <w:tab/>
        <w:t xml:space="preserve">Sasso, J.P., et al., </w:t>
      </w:r>
      <w:r w:rsidR="00C43AC3" w:rsidRPr="00C43AC3">
        <w:rPr>
          <w:i/>
        </w:rPr>
        <w:t>A framework for prescription in exercise-oncology research.</w:t>
      </w:r>
      <w:r w:rsidR="00C43AC3" w:rsidRPr="00C43AC3">
        <w:t xml:space="preserve"> J Cachexia Sarcopenia Muscle, 2015. </w:t>
      </w:r>
      <w:r w:rsidR="00C43AC3" w:rsidRPr="00C43AC3">
        <w:rPr>
          <w:b/>
        </w:rPr>
        <w:t>6</w:t>
      </w:r>
      <w:r w:rsidR="00C43AC3" w:rsidRPr="00C43AC3">
        <w:t>(2): p. 115-24.</w:t>
      </w:r>
    </w:p>
    <w:p w14:paraId="03754798" w14:textId="77777777" w:rsidR="00C43AC3" w:rsidRPr="00C43AC3" w:rsidRDefault="00C43AC3" w:rsidP="00C43AC3">
      <w:pPr>
        <w:pStyle w:val="EndNoteBibliography"/>
        <w:ind w:left="720" w:hanging="720"/>
      </w:pPr>
      <w:r w:rsidRPr="00C43AC3">
        <w:t>2.</w:t>
      </w:r>
      <w:r w:rsidRPr="00C43AC3">
        <w:tab/>
        <w:t xml:space="preserve">Scott, J.M., et al., </w:t>
      </w:r>
      <w:r w:rsidRPr="00C43AC3">
        <w:rPr>
          <w:i/>
        </w:rPr>
        <w:t>Feasibility, safety, and efficacy of aerobic training in pretreated patients with metastatic breast cancer: A randomized controlled trial.</w:t>
      </w:r>
      <w:r w:rsidRPr="00C43AC3">
        <w:t xml:space="preserve"> Cancer, 2018. </w:t>
      </w:r>
      <w:r w:rsidRPr="00C43AC3">
        <w:rPr>
          <w:b/>
        </w:rPr>
        <w:t>124</w:t>
      </w:r>
      <w:r w:rsidRPr="00C43AC3">
        <w:t>(12): p. 2552-2560.</w:t>
      </w:r>
    </w:p>
    <w:p w14:paraId="7E2E2BC9" w14:textId="77777777" w:rsidR="00C43AC3" w:rsidRPr="00C43AC3" w:rsidRDefault="00C43AC3" w:rsidP="00C43AC3">
      <w:pPr>
        <w:pStyle w:val="EndNoteBibliography"/>
        <w:ind w:left="720" w:hanging="720"/>
      </w:pPr>
      <w:r w:rsidRPr="00C43AC3">
        <w:t>3.</w:t>
      </w:r>
      <w:r w:rsidRPr="00C43AC3">
        <w:tab/>
        <w:t xml:space="preserve">Nilsen, T.S., et al., </w:t>
      </w:r>
      <w:r w:rsidRPr="00C43AC3">
        <w:rPr>
          <w:i/>
        </w:rPr>
        <w:t>Novel Methods for Reporting of Exercise Dose and Adherence: An Exploratory Analysis.</w:t>
      </w:r>
      <w:r w:rsidRPr="00C43AC3">
        <w:t xml:space="preserve"> Med Sci Sports Exerc, 2018. </w:t>
      </w:r>
      <w:r w:rsidRPr="00C43AC3">
        <w:rPr>
          <w:b/>
        </w:rPr>
        <w:t>50</w:t>
      </w:r>
      <w:r w:rsidRPr="00C43AC3">
        <w:t>(6): p. 1134-1141.</w:t>
      </w:r>
    </w:p>
    <w:p w14:paraId="51699DB6" w14:textId="77777777" w:rsidR="00C43AC3" w:rsidRPr="00C43AC3" w:rsidRDefault="00C43AC3" w:rsidP="00C43AC3">
      <w:pPr>
        <w:pStyle w:val="EndNoteBibliography"/>
        <w:ind w:left="720" w:hanging="720"/>
      </w:pPr>
      <w:r w:rsidRPr="00C43AC3">
        <w:t>4.</w:t>
      </w:r>
      <w:r w:rsidRPr="00C43AC3">
        <w:tab/>
        <w:t xml:space="preserve">ATS/ACCP, </w:t>
      </w:r>
      <w:r w:rsidRPr="00C43AC3">
        <w:rPr>
          <w:i/>
        </w:rPr>
        <w:t>ATS/ACCP Statement on cardiopulmonary exercise testing.</w:t>
      </w:r>
      <w:r w:rsidRPr="00C43AC3">
        <w:t xml:space="preserve"> Am J Respir Crit Care Med, 2003. </w:t>
      </w:r>
      <w:r w:rsidRPr="00C43AC3">
        <w:rPr>
          <w:b/>
        </w:rPr>
        <w:t>167</w:t>
      </w:r>
      <w:r w:rsidRPr="00C43AC3">
        <w:t>(2): p. 211-77.</w:t>
      </w:r>
    </w:p>
    <w:p w14:paraId="36880F4B" w14:textId="77777777" w:rsidR="00C43AC3" w:rsidRPr="00C43AC3" w:rsidRDefault="00C43AC3" w:rsidP="00C43AC3">
      <w:pPr>
        <w:pStyle w:val="EndNoteBibliography"/>
        <w:ind w:left="720" w:hanging="720"/>
      </w:pPr>
      <w:r w:rsidRPr="00C43AC3">
        <w:t>5.</w:t>
      </w:r>
      <w:r w:rsidRPr="00C43AC3">
        <w:tab/>
        <w:t xml:space="preserve">Barnes, M. and S. Plisk, </w:t>
      </w:r>
      <w:r w:rsidRPr="00C43AC3">
        <w:rPr>
          <w:i/>
        </w:rPr>
        <w:t>NSCA strength &amp; conditioning professional standards &amp; guidelines.</w:t>
      </w:r>
      <w:r w:rsidRPr="00C43AC3">
        <w:t xml:space="preserve"> Strength and Conditioning Journal, 2002. </w:t>
      </w:r>
      <w:r w:rsidRPr="00C43AC3">
        <w:rPr>
          <w:b/>
        </w:rPr>
        <w:t>24</w:t>
      </w:r>
      <w:r w:rsidRPr="00C43AC3">
        <w:t>(1): p. 7-8.</w:t>
      </w:r>
    </w:p>
    <w:p w14:paraId="7C23F405" w14:textId="77777777" w:rsidR="00C43AC3" w:rsidRPr="00C43AC3" w:rsidRDefault="00C43AC3" w:rsidP="00C43AC3">
      <w:pPr>
        <w:pStyle w:val="EndNoteBibliography"/>
        <w:ind w:left="720" w:hanging="720"/>
      </w:pPr>
      <w:r w:rsidRPr="00C43AC3">
        <w:t>6.</w:t>
      </w:r>
      <w:r w:rsidRPr="00C43AC3">
        <w:tab/>
        <w:t xml:space="preserve">Cella, D.F., et al., </w:t>
      </w:r>
      <w:r w:rsidRPr="00C43AC3">
        <w:rPr>
          <w:i/>
        </w:rPr>
        <w:t>Reliability and validity of the Functional Assessment of Cancer Therapy-Lung (FACT-L) quality of life instrument.</w:t>
      </w:r>
      <w:r w:rsidRPr="00C43AC3">
        <w:t xml:space="preserve"> Lung Cancer, 1995. </w:t>
      </w:r>
      <w:r w:rsidRPr="00C43AC3">
        <w:rPr>
          <w:b/>
        </w:rPr>
        <w:t>12</w:t>
      </w:r>
      <w:r w:rsidRPr="00C43AC3">
        <w:t>(3): p. 199-220.</w:t>
      </w:r>
    </w:p>
    <w:p w14:paraId="5B917BBD" w14:textId="77777777" w:rsidR="00C43AC3" w:rsidRPr="00C43AC3" w:rsidRDefault="00C43AC3" w:rsidP="00C43AC3">
      <w:pPr>
        <w:pStyle w:val="EndNoteBibliography"/>
        <w:ind w:left="720" w:hanging="720"/>
      </w:pPr>
      <w:r w:rsidRPr="00C43AC3">
        <w:t>7.</w:t>
      </w:r>
      <w:r w:rsidRPr="00C43AC3">
        <w:tab/>
        <w:t xml:space="preserve">Cella, D.F., et al., </w:t>
      </w:r>
      <w:r w:rsidRPr="00C43AC3">
        <w:rPr>
          <w:i/>
        </w:rPr>
        <w:t>The Functional Assessment of Cancer Therapy scale: development and validation of the general measure.</w:t>
      </w:r>
      <w:r w:rsidRPr="00C43AC3">
        <w:t xml:space="preserve"> J Clin Oncol, 1993. </w:t>
      </w:r>
      <w:r w:rsidRPr="00C43AC3">
        <w:rPr>
          <w:b/>
        </w:rPr>
        <w:t>11</w:t>
      </w:r>
      <w:r w:rsidRPr="00C43AC3">
        <w:t>(3): p. 570-9.</w:t>
      </w:r>
    </w:p>
    <w:p w14:paraId="4C66EDA9" w14:textId="77777777" w:rsidR="00C43AC3" w:rsidRPr="00C43AC3" w:rsidRDefault="00C43AC3" w:rsidP="00C43AC3">
      <w:pPr>
        <w:pStyle w:val="EndNoteBibliography"/>
        <w:ind w:left="720" w:hanging="720"/>
      </w:pPr>
      <w:r w:rsidRPr="00C43AC3">
        <w:t>8.</w:t>
      </w:r>
      <w:r w:rsidRPr="00C43AC3">
        <w:tab/>
        <w:t xml:space="preserve">Lai, J.S., et al., </w:t>
      </w:r>
      <w:r w:rsidRPr="00C43AC3">
        <w:rPr>
          <w:i/>
        </w:rPr>
        <w:t>Item banking to improve, shorten and computerize self-reported fatigue: an illustration of steps to create a core item bank from the FACIT-Fatigue Scale.</w:t>
      </w:r>
      <w:r w:rsidRPr="00C43AC3">
        <w:t xml:space="preserve"> Qual Life Res, 2003. </w:t>
      </w:r>
      <w:r w:rsidRPr="00C43AC3">
        <w:rPr>
          <w:b/>
        </w:rPr>
        <w:t>12</w:t>
      </w:r>
      <w:r w:rsidRPr="00C43AC3">
        <w:t>(5): p. 485-501.</w:t>
      </w:r>
    </w:p>
    <w:p w14:paraId="6D6E745B" w14:textId="77777777" w:rsidR="00C43AC3" w:rsidRPr="00C43AC3" w:rsidRDefault="00C43AC3" w:rsidP="00C43AC3">
      <w:pPr>
        <w:pStyle w:val="EndNoteBibliography"/>
        <w:ind w:left="720" w:hanging="720"/>
      </w:pPr>
      <w:r w:rsidRPr="00C43AC3">
        <w:t>9.</w:t>
      </w:r>
      <w:r w:rsidRPr="00C43AC3">
        <w:tab/>
        <w:t xml:space="preserve">Cleeland, C.S. and K.M. Ryan, </w:t>
      </w:r>
      <w:r w:rsidRPr="00C43AC3">
        <w:rPr>
          <w:i/>
        </w:rPr>
        <w:t>Pain assessment: global use of the Brief Pain Inventory.</w:t>
      </w:r>
      <w:r w:rsidRPr="00C43AC3">
        <w:t xml:space="preserve"> Ann Acad Med Singapore, 1994. </w:t>
      </w:r>
      <w:r w:rsidRPr="00C43AC3">
        <w:rPr>
          <w:b/>
        </w:rPr>
        <w:t>23</w:t>
      </w:r>
      <w:r w:rsidRPr="00C43AC3">
        <w:t>(2): p. 129-38.</w:t>
      </w:r>
    </w:p>
    <w:p w14:paraId="5E52E15E" w14:textId="77777777" w:rsidR="00C43AC3" w:rsidRPr="00C43AC3" w:rsidRDefault="00C43AC3" w:rsidP="00C43AC3">
      <w:pPr>
        <w:pStyle w:val="EndNoteBibliography"/>
        <w:ind w:left="720" w:hanging="720"/>
      </w:pPr>
      <w:r w:rsidRPr="00C43AC3">
        <w:t>10.</w:t>
      </w:r>
      <w:r w:rsidRPr="00C43AC3">
        <w:tab/>
        <w:t xml:space="preserve">Buysse, D.J., et al., </w:t>
      </w:r>
      <w:r w:rsidRPr="00C43AC3">
        <w:rPr>
          <w:i/>
        </w:rPr>
        <w:t>The Pittsburgh Sleep Quality Index: a new instrument for psychiatric practice and research.</w:t>
      </w:r>
      <w:r w:rsidRPr="00C43AC3">
        <w:t xml:space="preserve"> Psychiatry Res, 1989. </w:t>
      </w:r>
      <w:r w:rsidRPr="00C43AC3">
        <w:rPr>
          <w:b/>
        </w:rPr>
        <w:t>28</w:t>
      </w:r>
      <w:r w:rsidRPr="00C43AC3">
        <w:t>(2): p. 193-213.</w:t>
      </w:r>
    </w:p>
    <w:p w14:paraId="15BB8883" w14:textId="77777777" w:rsidR="00C43AC3" w:rsidRPr="00C43AC3" w:rsidRDefault="00C43AC3" w:rsidP="00C43AC3">
      <w:pPr>
        <w:pStyle w:val="EndNoteBibliography"/>
        <w:ind w:left="720" w:hanging="720"/>
      </w:pPr>
      <w:r w:rsidRPr="00C43AC3">
        <w:t>11.</w:t>
      </w:r>
      <w:r w:rsidRPr="00C43AC3">
        <w:tab/>
        <w:t xml:space="preserve">Godin, G. and R.J. Shephard, </w:t>
      </w:r>
      <w:r w:rsidRPr="00C43AC3">
        <w:rPr>
          <w:i/>
        </w:rPr>
        <w:t>A simple method to assess exercise behavior in the community.</w:t>
      </w:r>
      <w:r w:rsidRPr="00C43AC3">
        <w:t xml:space="preserve"> Can J Appl Sport Sci, 1985. </w:t>
      </w:r>
      <w:r w:rsidRPr="00C43AC3">
        <w:rPr>
          <w:b/>
        </w:rPr>
        <w:t>10</w:t>
      </w:r>
      <w:r w:rsidRPr="00C43AC3">
        <w:t>(3): p. 141-6.</w:t>
      </w:r>
    </w:p>
    <w:p w14:paraId="58A98E90" w14:textId="77777777" w:rsidR="00C43AC3" w:rsidRPr="00C43AC3" w:rsidRDefault="00C43AC3" w:rsidP="00C43AC3">
      <w:pPr>
        <w:pStyle w:val="EndNoteBibliography"/>
        <w:ind w:left="720" w:hanging="720"/>
      </w:pPr>
      <w:r w:rsidRPr="00C43AC3">
        <w:t>12.</w:t>
      </w:r>
      <w:r w:rsidRPr="00C43AC3">
        <w:tab/>
        <w:t xml:space="preserve">Ross, R., L. de Lannoy, and P.J. Stotz, </w:t>
      </w:r>
      <w:r w:rsidRPr="00C43AC3">
        <w:rPr>
          <w:i/>
        </w:rPr>
        <w:t>Separate Effects of Intensity and Amount of Exercise on Interindividual Cardiorespiratory Fitness Response.</w:t>
      </w:r>
      <w:r w:rsidRPr="00C43AC3">
        <w:t xml:space="preserve"> Mayo Clin Proc, 2015. </w:t>
      </w:r>
      <w:r w:rsidRPr="00C43AC3">
        <w:rPr>
          <w:b/>
        </w:rPr>
        <w:t>90</w:t>
      </w:r>
      <w:r w:rsidRPr="00C43AC3">
        <w:t>(11): p. 1506-14.</w:t>
      </w:r>
    </w:p>
    <w:p w14:paraId="0E9A527C" w14:textId="3D6B4E59" w:rsidR="00432427" w:rsidRPr="00452C41" w:rsidRDefault="00DB4BB2" w:rsidP="00DB6ADA">
      <w:pPr>
        <w:spacing w:line="480" w:lineRule="auto"/>
        <w:rPr>
          <w:sz w:val="20"/>
          <w:szCs w:val="20"/>
        </w:rPr>
      </w:pPr>
      <w:r w:rsidRPr="00452C41">
        <w:rPr>
          <w:sz w:val="20"/>
          <w:szCs w:val="20"/>
        </w:rPr>
        <w:fldChar w:fldCharType="end"/>
      </w:r>
    </w:p>
    <w:sectPr w:rsidR="00432427" w:rsidRPr="00452C41" w:rsidSect="008A0BFD">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47B0" w14:textId="77777777" w:rsidR="00C24786" w:rsidRDefault="00C24786" w:rsidP="00CE2772">
      <w:r>
        <w:separator/>
      </w:r>
    </w:p>
  </w:endnote>
  <w:endnote w:type="continuationSeparator" w:id="0">
    <w:p w14:paraId="4301056B" w14:textId="77777777" w:rsidR="00C24786" w:rsidRDefault="00C24786" w:rsidP="00CE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227E" w14:textId="352A0E3B" w:rsidR="00B9792B" w:rsidRDefault="00B9792B">
    <w:pPr>
      <w:pStyle w:val="Footer"/>
      <w:jc w:val="center"/>
    </w:pPr>
  </w:p>
  <w:p w14:paraId="2EC41C95" w14:textId="77777777" w:rsidR="00B9792B" w:rsidRDefault="00B9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F73A" w14:textId="77777777" w:rsidR="00B9792B" w:rsidRDefault="00B9792B">
    <w:pPr>
      <w:pStyle w:val="Footer"/>
      <w:jc w:val="center"/>
    </w:pPr>
  </w:p>
  <w:p w14:paraId="43CD50B3" w14:textId="77777777" w:rsidR="00B9792B" w:rsidRDefault="00B9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C9A3" w14:textId="77777777" w:rsidR="00C24786" w:rsidRDefault="00C24786" w:rsidP="00CE2772">
      <w:r>
        <w:separator/>
      </w:r>
    </w:p>
  </w:footnote>
  <w:footnote w:type="continuationSeparator" w:id="0">
    <w:p w14:paraId="37294569" w14:textId="77777777" w:rsidR="00C24786" w:rsidRDefault="00C24786" w:rsidP="00CE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6BC5" w14:textId="77777777" w:rsidR="00B9792B" w:rsidRDefault="00B9792B" w:rsidP="00EF05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C5CF" w14:textId="77777777" w:rsidR="00B9792B" w:rsidRDefault="00B9792B" w:rsidP="00492E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6BB3" w14:textId="214ED9CE" w:rsidR="00B9792B" w:rsidRPr="00492EAB" w:rsidRDefault="00B9792B" w:rsidP="00EF05BB">
    <w:pPr>
      <w:pStyle w:val="Header"/>
      <w:framePr w:wrap="around" w:vAnchor="text" w:hAnchor="margin" w:xAlign="right" w:y="1"/>
      <w:rPr>
        <w:rStyle w:val="PageNumber"/>
        <w:rFonts w:ascii="Arial" w:hAnsi="Arial" w:cs="Arial"/>
        <w:sz w:val="20"/>
        <w:szCs w:val="20"/>
      </w:rPr>
    </w:pPr>
    <w:r w:rsidRPr="00492EAB">
      <w:rPr>
        <w:rStyle w:val="PageNumber"/>
        <w:rFonts w:ascii="Arial" w:hAnsi="Arial" w:cs="Arial"/>
        <w:sz w:val="20"/>
        <w:szCs w:val="20"/>
      </w:rPr>
      <w:fldChar w:fldCharType="begin"/>
    </w:r>
    <w:r w:rsidRPr="00492EAB">
      <w:rPr>
        <w:rStyle w:val="PageNumber"/>
        <w:rFonts w:ascii="Arial" w:hAnsi="Arial" w:cs="Arial"/>
        <w:sz w:val="20"/>
        <w:szCs w:val="20"/>
      </w:rPr>
      <w:instrText xml:space="preserve">PAGE  </w:instrText>
    </w:r>
    <w:r w:rsidRPr="00492EAB">
      <w:rPr>
        <w:rStyle w:val="PageNumber"/>
        <w:rFonts w:ascii="Arial" w:hAnsi="Arial" w:cs="Arial"/>
        <w:sz w:val="20"/>
        <w:szCs w:val="20"/>
      </w:rPr>
      <w:fldChar w:fldCharType="separate"/>
    </w:r>
    <w:r>
      <w:rPr>
        <w:rStyle w:val="PageNumber"/>
        <w:rFonts w:ascii="Arial" w:hAnsi="Arial" w:cs="Arial"/>
        <w:noProof/>
        <w:sz w:val="20"/>
        <w:szCs w:val="20"/>
      </w:rPr>
      <w:t>1</w:t>
    </w:r>
    <w:r w:rsidRPr="00492EAB">
      <w:rPr>
        <w:rStyle w:val="PageNumber"/>
        <w:rFonts w:ascii="Arial" w:hAnsi="Arial" w:cs="Arial"/>
        <w:sz w:val="20"/>
        <w:szCs w:val="20"/>
      </w:rPr>
      <w:fldChar w:fldCharType="end"/>
    </w:r>
  </w:p>
  <w:p w14:paraId="58D152F5" w14:textId="77777777" w:rsidR="00B9792B" w:rsidRDefault="00B9792B" w:rsidP="00492E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DE83" w14:textId="77777777" w:rsidR="00B9792B" w:rsidRDefault="00B9792B" w:rsidP="00EF05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3F512" w14:textId="77777777" w:rsidR="00B9792B" w:rsidRDefault="00B9792B" w:rsidP="00492EA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2F8" w14:textId="28BC2DD6" w:rsidR="00B9792B" w:rsidRPr="00492EAB" w:rsidRDefault="00B9792B" w:rsidP="00EF05BB">
    <w:pPr>
      <w:pStyle w:val="Header"/>
      <w:framePr w:wrap="around" w:vAnchor="text" w:hAnchor="margin" w:xAlign="right" w:y="1"/>
      <w:rPr>
        <w:rStyle w:val="PageNumber"/>
        <w:rFonts w:ascii="Arial" w:hAnsi="Arial" w:cs="Arial"/>
        <w:sz w:val="20"/>
        <w:szCs w:val="20"/>
      </w:rPr>
    </w:pPr>
    <w:r w:rsidRPr="00492EAB">
      <w:rPr>
        <w:rStyle w:val="PageNumber"/>
        <w:rFonts w:ascii="Arial" w:hAnsi="Arial" w:cs="Arial"/>
        <w:sz w:val="20"/>
        <w:szCs w:val="20"/>
      </w:rPr>
      <w:fldChar w:fldCharType="begin"/>
    </w:r>
    <w:r w:rsidRPr="00492EAB">
      <w:rPr>
        <w:rStyle w:val="PageNumber"/>
        <w:rFonts w:ascii="Arial" w:hAnsi="Arial" w:cs="Arial"/>
        <w:sz w:val="20"/>
        <w:szCs w:val="20"/>
      </w:rPr>
      <w:instrText xml:space="preserve">PAGE  </w:instrText>
    </w:r>
    <w:r w:rsidRPr="00492EAB">
      <w:rPr>
        <w:rStyle w:val="PageNumber"/>
        <w:rFonts w:ascii="Arial" w:hAnsi="Arial" w:cs="Arial"/>
        <w:sz w:val="20"/>
        <w:szCs w:val="20"/>
      </w:rPr>
      <w:fldChar w:fldCharType="separate"/>
    </w:r>
    <w:r>
      <w:rPr>
        <w:rStyle w:val="PageNumber"/>
        <w:rFonts w:ascii="Arial" w:hAnsi="Arial" w:cs="Arial"/>
        <w:noProof/>
        <w:sz w:val="20"/>
        <w:szCs w:val="20"/>
      </w:rPr>
      <w:t>12</w:t>
    </w:r>
    <w:r w:rsidRPr="00492EAB">
      <w:rPr>
        <w:rStyle w:val="PageNumber"/>
        <w:rFonts w:ascii="Arial" w:hAnsi="Arial" w:cs="Arial"/>
        <w:sz w:val="20"/>
        <w:szCs w:val="20"/>
      </w:rPr>
      <w:fldChar w:fldCharType="end"/>
    </w:r>
  </w:p>
  <w:p w14:paraId="36D05AB6" w14:textId="77777777" w:rsidR="00B9792B" w:rsidRDefault="00B9792B" w:rsidP="00492E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814"/>
    <w:multiLevelType w:val="hybridMultilevel"/>
    <w:tmpl w:val="4956010C"/>
    <w:lvl w:ilvl="0" w:tplc="84D0A8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C0C"/>
    <w:multiLevelType w:val="hybridMultilevel"/>
    <w:tmpl w:val="619408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45C28"/>
    <w:multiLevelType w:val="hybridMultilevel"/>
    <w:tmpl w:val="5A0CDCC8"/>
    <w:lvl w:ilvl="0" w:tplc="3AAC2D4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27A2"/>
    <w:multiLevelType w:val="hybridMultilevel"/>
    <w:tmpl w:val="645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0F09"/>
    <w:multiLevelType w:val="multilevel"/>
    <w:tmpl w:val="E38E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D6C43"/>
    <w:multiLevelType w:val="hybridMultilevel"/>
    <w:tmpl w:val="0E32F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D4248"/>
    <w:multiLevelType w:val="hybridMultilevel"/>
    <w:tmpl w:val="1AA69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75248"/>
    <w:multiLevelType w:val="hybridMultilevel"/>
    <w:tmpl w:val="918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F5952"/>
    <w:multiLevelType w:val="hybridMultilevel"/>
    <w:tmpl w:val="ABE26D60"/>
    <w:lvl w:ilvl="0" w:tplc="ABAA33E8">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0178E"/>
    <w:multiLevelType w:val="hybridMultilevel"/>
    <w:tmpl w:val="CEA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14DDD"/>
    <w:multiLevelType w:val="hybridMultilevel"/>
    <w:tmpl w:val="A0F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50929"/>
    <w:multiLevelType w:val="hybridMultilevel"/>
    <w:tmpl w:val="EBAA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9A1"/>
    <w:multiLevelType w:val="hybridMultilevel"/>
    <w:tmpl w:val="9E2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76120"/>
    <w:multiLevelType w:val="multilevel"/>
    <w:tmpl w:val="C18C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00B47"/>
    <w:multiLevelType w:val="hybridMultilevel"/>
    <w:tmpl w:val="CB700FF6"/>
    <w:lvl w:ilvl="0" w:tplc="B2FA9794">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A51B5"/>
    <w:multiLevelType w:val="multilevel"/>
    <w:tmpl w:val="A72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81F89"/>
    <w:multiLevelType w:val="hybridMultilevel"/>
    <w:tmpl w:val="4F8E534C"/>
    <w:lvl w:ilvl="0" w:tplc="F2600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A4EEF"/>
    <w:multiLevelType w:val="hybridMultilevel"/>
    <w:tmpl w:val="5338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363DB"/>
    <w:multiLevelType w:val="hybridMultilevel"/>
    <w:tmpl w:val="4462A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55F15"/>
    <w:multiLevelType w:val="multilevel"/>
    <w:tmpl w:val="F5C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61C16"/>
    <w:multiLevelType w:val="hybridMultilevel"/>
    <w:tmpl w:val="F18048AE"/>
    <w:lvl w:ilvl="0" w:tplc="AE72EC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E52C8"/>
    <w:multiLevelType w:val="multilevel"/>
    <w:tmpl w:val="EF8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44E08"/>
    <w:multiLevelType w:val="multilevel"/>
    <w:tmpl w:val="808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E79A7"/>
    <w:multiLevelType w:val="hybridMultilevel"/>
    <w:tmpl w:val="8C3E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11B0B"/>
    <w:multiLevelType w:val="multilevel"/>
    <w:tmpl w:val="53C0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F17B3"/>
    <w:multiLevelType w:val="multilevel"/>
    <w:tmpl w:val="EAD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609E4"/>
    <w:multiLevelType w:val="hybridMultilevel"/>
    <w:tmpl w:val="EEB66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15225"/>
    <w:multiLevelType w:val="hybridMultilevel"/>
    <w:tmpl w:val="F3128706"/>
    <w:lvl w:ilvl="0" w:tplc="86B656CA">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735F2"/>
    <w:multiLevelType w:val="hybridMultilevel"/>
    <w:tmpl w:val="BB64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518B1"/>
    <w:multiLevelType w:val="hybridMultilevel"/>
    <w:tmpl w:val="EEF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D6D53"/>
    <w:multiLevelType w:val="hybridMultilevel"/>
    <w:tmpl w:val="92F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71ADE"/>
    <w:multiLevelType w:val="multilevel"/>
    <w:tmpl w:val="C2D6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81CAC"/>
    <w:multiLevelType w:val="multilevel"/>
    <w:tmpl w:val="7008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A3267B"/>
    <w:multiLevelType w:val="hybridMultilevel"/>
    <w:tmpl w:val="1A84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D7F01"/>
    <w:multiLevelType w:val="hybridMultilevel"/>
    <w:tmpl w:val="1AA6CBEA"/>
    <w:lvl w:ilvl="0" w:tplc="B3AC523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6318E"/>
    <w:multiLevelType w:val="hybridMultilevel"/>
    <w:tmpl w:val="7124E89A"/>
    <w:lvl w:ilvl="0" w:tplc="94A26E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44B99"/>
    <w:multiLevelType w:val="hybridMultilevel"/>
    <w:tmpl w:val="D47C4368"/>
    <w:lvl w:ilvl="0" w:tplc="3CD643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B1808"/>
    <w:multiLevelType w:val="multilevel"/>
    <w:tmpl w:val="5A6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14"/>
  </w:num>
  <w:num w:numId="4">
    <w:abstractNumId w:val="0"/>
  </w:num>
  <w:num w:numId="5">
    <w:abstractNumId w:val="28"/>
  </w:num>
  <w:num w:numId="6">
    <w:abstractNumId w:val="17"/>
  </w:num>
  <w:num w:numId="7">
    <w:abstractNumId w:val="11"/>
  </w:num>
  <w:num w:numId="8">
    <w:abstractNumId w:val="16"/>
  </w:num>
  <w:num w:numId="9">
    <w:abstractNumId w:val="23"/>
  </w:num>
  <w:num w:numId="10">
    <w:abstractNumId w:val="6"/>
  </w:num>
  <w:num w:numId="11">
    <w:abstractNumId w:val="8"/>
  </w:num>
  <w:num w:numId="12">
    <w:abstractNumId w:val="30"/>
  </w:num>
  <w:num w:numId="13">
    <w:abstractNumId w:val="18"/>
  </w:num>
  <w:num w:numId="14">
    <w:abstractNumId w:val="20"/>
  </w:num>
  <w:num w:numId="15">
    <w:abstractNumId w:val="34"/>
  </w:num>
  <w:num w:numId="16">
    <w:abstractNumId w:val="3"/>
  </w:num>
  <w:num w:numId="17">
    <w:abstractNumId w:val="7"/>
  </w:num>
  <w:num w:numId="18">
    <w:abstractNumId w:val="5"/>
  </w:num>
  <w:num w:numId="19">
    <w:abstractNumId w:val="2"/>
  </w:num>
  <w:num w:numId="20">
    <w:abstractNumId w:val="1"/>
  </w:num>
  <w:num w:numId="21">
    <w:abstractNumId w:val="37"/>
  </w:num>
  <w:num w:numId="22">
    <w:abstractNumId w:val="19"/>
  </w:num>
  <w:num w:numId="23">
    <w:abstractNumId w:val="35"/>
  </w:num>
  <w:num w:numId="24">
    <w:abstractNumId w:val="26"/>
  </w:num>
  <w:num w:numId="25">
    <w:abstractNumId w:val="13"/>
  </w:num>
  <w:num w:numId="26">
    <w:abstractNumId w:val="24"/>
  </w:num>
  <w:num w:numId="27">
    <w:abstractNumId w:val="4"/>
  </w:num>
  <w:num w:numId="28">
    <w:abstractNumId w:val="31"/>
  </w:num>
  <w:num w:numId="29">
    <w:abstractNumId w:val="25"/>
  </w:num>
  <w:num w:numId="30">
    <w:abstractNumId w:val="21"/>
  </w:num>
  <w:num w:numId="31">
    <w:abstractNumId w:val="27"/>
  </w:num>
  <w:num w:numId="32">
    <w:abstractNumId w:val="29"/>
  </w:num>
  <w:num w:numId="33">
    <w:abstractNumId w:val="36"/>
  </w:num>
  <w:num w:numId="34">
    <w:abstractNumId w:val="9"/>
  </w:num>
  <w:num w:numId="35">
    <w:abstractNumId w:val="10"/>
  </w:num>
  <w:num w:numId="36">
    <w:abstractNumId w:val="32"/>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rdt0z920029oepvvmpfxf4ppxfedpt95xt&quot;&gt;Jess&amp;apos;s&lt;record-ids&gt;&lt;item&gt;555&lt;/item&gt;&lt;item&gt;3813&lt;/item&gt;&lt;item&gt;4177&lt;/item&gt;&lt;item&gt;5305&lt;/item&gt;&lt;item&gt;5894&lt;/item&gt;&lt;item&gt;6206&lt;/item&gt;&lt;item&gt;6207&lt;/item&gt;&lt;item&gt;6214&lt;/item&gt;&lt;item&gt;6215&lt;/item&gt;&lt;item&gt;6216&lt;/item&gt;&lt;item&gt;6356&lt;/item&gt;&lt;item&gt;6379&lt;/item&gt;&lt;/record-ids&gt;&lt;/item&gt;&lt;/Libraries&gt;"/>
  </w:docVars>
  <w:rsids>
    <w:rsidRoot w:val="0075194B"/>
    <w:rsid w:val="0000071B"/>
    <w:rsid w:val="0002611E"/>
    <w:rsid w:val="00027D64"/>
    <w:rsid w:val="00033AF8"/>
    <w:rsid w:val="0003478D"/>
    <w:rsid w:val="000349C3"/>
    <w:rsid w:val="0003783D"/>
    <w:rsid w:val="0005165A"/>
    <w:rsid w:val="00051734"/>
    <w:rsid w:val="000569ED"/>
    <w:rsid w:val="00064E75"/>
    <w:rsid w:val="0006502B"/>
    <w:rsid w:val="00067DA0"/>
    <w:rsid w:val="000718AD"/>
    <w:rsid w:val="000739B7"/>
    <w:rsid w:val="0007427C"/>
    <w:rsid w:val="000759D4"/>
    <w:rsid w:val="000810D7"/>
    <w:rsid w:val="000811D0"/>
    <w:rsid w:val="00085FF1"/>
    <w:rsid w:val="00096D5F"/>
    <w:rsid w:val="00097883"/>
    <w:rsid w:val="000A343E"/>
    <w:rsid w:val="000A55E9"/>
    <w:rsid w:val="000C3618"/>
    <w:rsid w:val="000E1793"/>
    <w:rsid w:val="000E2F77"/>
    <w:rsid w:val="000E3E28"/>
    <w:rsid w:val="000E60E8"/>
    <w:rsid w:val="000F11A1"/>
    <w:rsid w:val="000F513E"/>
    <w:rsid w:val="000F7AD8"/>
    <w:rsid w:val="00100ADB"/>
    <w:rsid w:val="00103D7D"/>
    <w:rsid w:val="00104D59"/>
    <w:rsid w:val="00113968"/>
    <w:rsid w:val="00114BC1"/>
    <w:rsid w:val="00115489"/>
    <w:rsid w:val="00115DBF"/>
    <w:rsid w:val="0011678D"/>
    <w:rsid w:val="00117F2E"/>
    <w:rsid w:val="001270F9"/>
    <w:rsid w:val="0012775B"/>
    <w:rsid w:val="00131B49"/>
    <w:rsid w:val="001374A0"/>
    <w:rsid w:val="00143A63"/>
    <w:rsid w:val="00146544"/>
    <w:rsid w:val="00150286"/>
    <w:rsid w:val="00150C1F"/>
    <w:rsid w:val="00152D82"/>
    <w:rsid w:val="001555A7"/>
    <w:rsid w:val="00160805"/>
    <w:rsid w:val="00160D63"/>
    <w:rsid w:val="00165B22"/>
    <w:rsid w:val="00166CB3"/>
    <w:rsid w:val="00167CAF"/>
    <w:rsid w:val="0017771A"/>
    <w:rsid w:val="00177E35"/>
    <w:rsid w:val="001828A9"/>
    <w:rsid w:val="00190515"/>
    <w:rsid w:val="00191857"/>
    <w:rsid w:val="00191DED"/>
    <w:rsid w:val="00192A12"/>
    <w:rsid w:val="001A21D9"/>
    <w:rsid w:val="001A7AF7"/>
    <w:rsid w:val="001C3996"/>
    <w:rsid w:val="001C7FE5"/>
    <w:rsid w:val="001D08FF"/>
    <w:rsid w:val="001D4EC3"/>
    <w:rsid w:val="001E2B60"/>
    <w:rsid w:val="001E718E"/>
    <w:rsid w:val="001F0FF8"/>
    <w:rsid w:val="001F4718"/>
    <w:rsid w:val="001F4831"/>
    <w:rsid w:val="00200079"/>
    <w:rsid w:val="00200B75"/>
    <w:rsid w:val="00203B50"/>
    <w:rsid w:val="00203FF2"/>
    <w:rsid w:val="002053BE"/>
    <w:rsid w:val="00205E1E"/>
    <w:rsid w:val="00210332"/>
    <w:rsid w:val="00214182"/>
    <w:rsid w:val="00227B55"/>
    <w:rsid w:val="00233207"/>
    <w:rsid w:val="002436C6"/>
    <w:rsid w:val="00243C2C"/>
    <w:rsid w:val="002468AD"/>
    <w:rsid w:val="0025286A"/>
    <w:rsid w:val="002547EF"/>
    <w:rsid w:val="00260D80"/>
    <w:rsid w:val="00262E97"/>
    <w:rsid w:val="002658FE"/>
    <w:rsid w:val="0027051F"/>
    <w:rsid w:val="0027534F"/>
    <w:rsid w:val="00275620"/>
    <w:rsid w:val="00280DA1"/>
    <w:rsid w:val="00281325"/>
    <w:rsid w:val="00281458"/>
    <w:rsid w:val="002841EE"/>
    <w:rsid w:val="00287741"/>
    <w:rsid w:val="002904B6"/>
    <w:rsid w:val="00291BD6"/>
    <w:rsid w:val="00293A2F"/>
    <w:rsid w:val="00293CBD"/>
    <w:rsid w:val="00294316"/>
    <w:rsid w:val="002945E7"/>
    <w:rsid w:val="002957F7"/>
    <w:rsid w:val="00295FCD"/>
    <w:rsid w:val="002A3F9F"/>
    <w:rsid w:val="002C3B92"/>
    <w:rsid w:val="002D478C"/>
    <w:rsid w:val="002E1801"/>
    <w:rsid w:val="002E54EC"/>
    <w:rsid w:val="002E7A6E"/>
    <w:rsid w:val="002F2165"/>
    <w:rsid w:val="002F4722"/>
    <w:rsid w:val="002F6AD7"/>
    <w:rsid w:val="00305E8B"/>
    <w:rsid w:val="00306415"/>
    <w:rsid w:val="00310503"/>
    <w:rsid w:val="00311F8C"/>
    <w:rsid w:val="00312466"/>
    <w:rsid w:val="003133A2"/>
    <w:rsid w:val="003138A3"/>
    <w:rsid w:val="00314A9F"/>
    <w:rsid w:val="00316481"/>
    <w:rsid w:val="00317C34"/>
    <w:rsid w:val="00320185"/>
    <w:rsid w:val="00324C7A"/>
    <w:rsid w:val="00330776"/>
    <w:rsid w:val="0033133F"/>
    <w:rsid w:val="003314F8"/>
    <w:rsid w:val="003349E1"/>
    <w:rsid w:val="0033612A"/>
    <w:rsid w:val="00337CB0"/>
    <w:rsid w:val="00344C8B"/>
    <w:rsid w:val="00351340"/>
    <w:rsid w:val="00351DF0"/>
    <w:rsid w:val="003526B7"/>
    <w:rsid w:val="00352ED8"/>
    <w:rsid w:val="00355D3A"/>
    <w:rsid w:val="00363E6A"/>
    <w:rsid w:val="00365A67"/>
    <w:rsid w:val="00366A30"/>
    <w:rsid w:val="00366CFF"/>
    <w:rsid w:val="00367679"/>
    <w:rsid w:val="00370E50"/>
    <w:rsid w:val="0037569C"/>
    <w:rsid w:val="0038251F"/>
    <w:rsid w:val="00382CD9"/>
    <w:rsid w:val="00384F82"/>
    <w:rsid w:val="00385B2D"/>
    <w:rsid w:val="0039122A"/>
    <w:rsid w:val="00393EBF"/>
    <w:rsid w:val="0039529D"/>
    <w:rsid w:val="003A074B"/>
    <w:rsid w:val="003A721E"/>
    <w:rsid w:val="003B079C"/>
    <w:rsid w:val="003B45B9"/>
    <w:rsid w:val="003C12B6"/>
    <w:rsid w:val="003C4372"/>
    <w:rsid w:val="003C5DC0"/>
    <w:rsid w:val="003D1206"/>
    <w:rsid w:val="003D26AD"/>
    <w:rsid w:val="003D638F"/>
    <w:rsid w:val="003D7454"/>
    <w:rsid w:val="003E0CEB"/>
    <w:rsid w:val="003E3642"/>
    <w:rsid w:val="003E77F2"/>
    <w:rsid w:val="003E7EC6"/>
    <w:rsid w:val="00415940"/>
    <w:rsid w:val="00416B53"/>
    <w:rsid w:val="004229D9"/>
    <w:rsid w:val="00431BB2"/>
    <w:rsid w:val="00432427"/>
    <w:rsid w:val="00434C8D"/>
    <w:rsid w:val="00435FDC"/>
    <w:rsid w:val="00437C8A"/>
    <w:rsid w:val="0044124A"/>
    <w:rsid w:val="004506A0"/>
    <w:rsid w:val="004524FC"/>
    <w:rsid w:val="00452C41"/>
    <w:rsid w:val="00454593"/>
    <w:rsid w:val="00454860"/>
    <w:rsid w:val="004559DC"/>
    <w:rsid w:val="00460B09"/>
    <w:rsid w:val="004755E2"/>
    <w:rsid w:val="00476C50"/>
    <w:rsid w:val="00480E79"/>
    <w:rsid w:val="00484F30"/>
    <w:rsid w:val="0049031A"/>
    <w:rsid w:val="004913B9"/>
    <w:rsid w:val="0049190A"/>
    <w:rsid w:val="00492DAF"/>
    <w:rsid w:val="00492EAB"/>
    <w:rsid w:val="00495C07"/>
    <w:rsid w:val="0049611D"/>
    <w:rsid w:val="004968A6"/>
    <w:rsid w:val="004A202F"/>
    <w:rsid w:val="004B0061"/>
    <w:rsid w:val="004B1A34"/>
    <w:rsid w:val="004B38F9"/>
    <w:rsid w:val="004C521A"/>
    <w:rsid w:val="004C56CE"/>
    <w:rsid w:val="004C7C86"/>
    <w:rsid w:val="004D6B9D"/>
    <w:rsid w:val="004E1E03"/>
    <w:rsid w:val="004E30EB"/>
    <w:rsid w:val="004E5B33"/>
    <w:rsid w:val="004E6667"/>
    <w:rsid w:val="004F0688"/>
    <w:rsid w:val="004F3258"/>
    <w:rsid w:val="005022F6"/>
    <w:rsid w:val="00503AA7"/>
    <w:rsid w:val="00511A2F"/>
    <w:rsid w:val="00512900"/>
    <w:rsid w:val="005234CB"/>
    <w:rsid w:val="005264F1"/>
    <w:rsid w:val="00527EF3"/>
    <w:rsid w:val="00527FE7"/>
    <w:rsid w:val="00531007"/>
    <w:rsid w:val="005324A0"/>
    <w:rsid w:val="005338AF"/>
    <w:rsid w:val="00534267"/>
    <w:rsid w:val="0053580E"/>
    <w:rsid w:val="0054124C"/>
    <w:rsid w:val="00541DC4"/>
    <w:rsid w:val="00542AD3"/>
    <w:rsid w:val="00543742"/>
    <w:rsid w:val="00545097"/>
    <w:rsid w:val="005453B8"/>
    <w:rsid w:val="00546155"/>
    <w:rsid w:val="0054750E"/>
    <w:rsid w:val="00554339"/>
    <w:rsid w:val="00561823"/>
    <w:rsid w:val="00562126"/>
    <w:rsid w:val="005642FB"/>
    <w:rsid w:val="005655EF"/>
    <w:rsid w:val="00567788"/>
    <w:rsid w:val="00570DC9"/>
    <w:rsid w:val="005734A7"/>
    <w:rsid w:val="00575709"/>
    <w:rsid w:val="005800CD"/>
    <w:rsid w:val="00580332"/>
    <w:rsid w:val="00581515"/>
    <w:rsid w:val="005906A4"/>
    <w:rsid w:val="005915FD"/>
    <w:rsid w:val="005A2748"/>
    <w:rsid w:val="005A44A6"/>
    <w:rsid w:val="005A7E23"/>
    <w:rsid w:val="005C4889"/>
    <w:rsid w:val="005D3A23"/>
    <w:rsid w:val="005E1515"/>
    <w:rsid w:val="005E1671"/>
    <w:rsid w:val="005E7C8E"/>
    <w:rsid w:val="005F050D"/>
    <w:rsid w:val="00601214"/>
    <w:rsid w:val="00605595"/>
    <w:rsid w:val="00613907"/>
    <w:rsid w:val="00617777"/>
    <w:rsid w:val="00632588"/>
    <w:rsid w:val="00633785"/>
    <w:rsid w:val="00634971"/>
    <w:rsid w:val="00634FD2"/>
    <w:rsid w:val="0063675B"/>
    <w:rsid w:val="00641FCA"/>
    <w:rsid w:val="006440DC"/>
    <w:rsid w:val="006444C7"/>
    <w:rsid w:val="00650D60"/>
    <w:rsid w:val="00651B28"/>
    <w:rsid w:val="00651DA6"/>
    <w:rsid w:val="00652737"/>
    <w:rsid w:val="00660406"/>
    <w:rsid w:val="00660530"/>
    <w:rsid w:val="00661715"/>
    <w:rsid w:val="00664062"/>
    <w:rsid w:val="00673E5F"/>
    <w:rsid w:val="00677923"/>
    <w:rsid w:val="00680402"/>
    <w:rsid w:val="0068426A"/>
    <w:rsid w:val="00686158"/>
    <w:rsid w:val="006A486E"/>
    <w:rsid w:val="006A49FF"/>
    <w:rsid w:val="006A6285"/>
    <w:rsid w:val="006A6512"/>
    <w:rsid w:val="006B7572"/>
    <w:rsid w:val="006C19D0"/>
    <w:rsid w:val="006C1B86"/>
    <w:rsid w:val="006C589F"/>
    <w:rsid w:val="006D295D"/>
    <w:rsid w:val="006D5372"/>
    <w:rsid w:val="006E00F4"/>
    <w:rsid w:val="006E1294"/>
    <w:rsid w:val="006E6BD2"/>
    <w:rsid w:val="006F25AE"/>
    <w:rsid w:val="006F7495"/>
    <w:rsid w:val="007078A4"/>
    <w:rsid w:val="00712704"/>
    <w:rsid w:val="007129A1"/>
    <w:rsid w:val="00712E4D"/>
    <w:rsid w:val="00715D04"/>
    <w:rsid w:val="00717932"/>
    <w:rsid w:val="00724AE4"/>
    <w:rsid w:val="00727EF6"/>
    <w:rsid w:val="0073082C"/>
    <w:rsid w:val="0073147E"/>
    <w:rsid w:val="0073225D"/>
    <w:rsid w:val="007324FD"/>
    <w:rsid w:val="00737F64"/>
    <w:rsid w:val="00741B13"/>
    <w:rsid w:val="00745E03"/>
    <w:rsid w:val="007473A2"/>
    <w:rsid w:val="00750E10"/>
    <w:rsid w:val="0075194B"/>
    <w:rsid w:val="00752270"/>
    <w:rsid w:val="00754651"/>
    <w:rsid w:val="00756D02"/>
    <w:rsid w:val="007607EE"/>
    <w:rsid w:val="007626A3"/>
    <w:rsid w:val="00767EB5"/>
    <w:rsid w:val="007725D0"/>
    <w:rsid w:val="00772867"/>
    <w:rsid w:val="00775370"/>
    <w:rsid w:val="007807ED"/>
    <w:rsid w:val="00781876"/>
    <w:rsid w:val="007841C9"/>
    <w:rsid w:val="00793A52"/>
    <w:rsid w:val="00794810"/>
    <w:rsid w:val="00794E12"/>
    <w:rsid w:val="007A35DA"/>
    <w:rsid w:val="007A3768"/>
    <w:rsid w:val="007A4F8A"/>
    <w:rsid w:val="007A72D0"/>
    <w:rsid w:val="007B01C1"/>
    <w:rsid w:val="007B50A1"/>
    <w:rsid w:val="007C333A"/>
    <w:rsid w:val="007C545D"/>
    <w:rsid w:val="007D1805"/>
    <w:rsid w:val="007D20C8"/>
    <w:rsid w:val="007D41B5"/>
    <w:rsid w:val="007E32DF"/>
    <w:rsid w:val="007E3CD1"/>
    <w:rsid w:val="007E5B4A"/>
    <w:rsid w:val="007F150F"/>
    <w:rsid w:val="00803AE9"/>
    <w:rsid w:val="00804685"/>
    <w:rsid w:val="00806218"/>
    <w:rsid w:val="00806B08"/>
    <w:rsid w:val="00810F6A"/>
    <w:rsid w:val="00812813"/>
    <w:rsid w:val="008134C7"/>
    <w:rsid w:val="008140FF"/>
    <w:rsid w:val="00816737"/>
    <w:rsid w:val="00817547"/>
    <w:rsid w:val="00820E3C"/>
    <w:rsid w:val="0082146A"/>
    <w:rsid w:val="00822220"/>
    <w:rsid w:val="00823CDA"/>
    <w:rsid w:val="00824E58"/>
    <w:rsid w:val="008264C5"/>
    <w:rsid w:val="00833597"/>
    <w:rsid w:val="008368A4"/>
    <w:rsid w:val="00843BE9"/>
    <w:rsid w:val="0084565D"/>
    <w:rsid w:val="008553F4"/>
    <w:rsid w:val="008565B4"/>
    <w:rsid w:val="008579DA"/>
    <w:rsid w:val="00860890"/>
    <w:rsid w:val="00861D15"/>
    <w:rsid w:val="00862BC1"/>
    <w:rsid w:val="00871058"/>
    <w:rsid w:val="00871712"/>
    <w:rsid w:val="00871F85"/>
    <w:rsid w:val="008775DF"/>
    <w:rsid w:val="00880165"/>
    <w:rsid w:val="00881A4F"/>
    <w:rsid w:val="008847CF"/>
    <w:rsid w:val="00886D31"/>
    <w:rsid w:val="00894913"/>
    <w:rsid w:val="00897339"/>
    <w:rsid w:val="008A0BFD"/>
    <w:rsid w:val="008B3A3E"/>
    <w:rsid w:val="008C1865"/>
    <w:rsid w:val="008C6E4E"/>
    <w:rsid w:val="008C7957"/>
    <w:rsid w:val="008C7A38"/>
    <w:rsid w:val="008E05B6"/>
    <w:rsid w:val="008E4AA1"/>
    <w:rsid w:val="00902E1F"/>
    <w:rsid w:val="0090603E"/>
    <w:rsid w:val="00906E53"/>
    <w:rsid w:val="009105DA"/>
    <w:rsid w:val="0091187E"/>
    <w:rsid w:val="009168D0"/>
    <w:rsid w:val="009266E7"/>
    <w:rsid w:val="00937497"/>
    <w:rsid w:val="0095095C"/>
    <w:rsid w:val="00956FCB"/>
    <w:rsid w:val="00960130"/>
    <w:rsid w:val="00962062"/>
    <w:rsid w:val="00962507"/>
    <w:rsid w:val="009707D2"/>
    <w:rsid w:val="00973BD0"/>
    <w:rsid w:val="009765D6"/>
    <w:rsid w:val="00980EBC"/>
    <w:rsid w:val="009813E9"/>
    <w:rsid w:val="009846B2"/>
    <w:rsid w:val="00985C45"/>
    <w:rsid w:val="009869DE"/>
    <w:rsid w:val="00990BD2"/>
    <w:rsid w:val="00997063"/>
    <w:rsid w:val="009973F2"/>
    <w:rsid w:val="00997C15"/>
    <w:rsid w:val="009A142E"/>
    <w:rsid w:val="009A17E3"/>
    <w:rsid w:val="009A659E"/>
    <w:rsid w:val="009B0717"/>
    <w:rsid w:val="009B1ADE"/>
    <w:rsid w:val="009B2BFE"/>
    <w:rsid w:val="009B48EE"/>
    <w:rsid w:val="009B6693"/>
    <w:rsid w:val="009B77BA"/>
    <w:rsid w:val="009C0822"/>
    <w:rsid w:val="009C285C"/>
    <w:rsid w:val="009C356E"/>
    <w:rsid w:val="009C76FE"/>
    <w:rsid w:val="009C7F96"/>
    <w:rsid w:val="009D2398"/>
    <w:rsid w:val="009D465D"/>
    <w:rsid w:val="009D5020"/>
    <w:rsid w:val="009D59CB"/>
    <w:rsid w:val="009D5A39"/>
    <w:rsid w:val="009E27E2"/>
    <w:rsid w:val="009E3267"/>
    <w:rsid w:val="009E78F2"/>
    <w:rsid w:val="009F1998"/>
    <w:rsid w:val="009F6167"/>
    <w:rsid w:val="009F6590"/>
    <w:rsid w:val="009F68CE"/>
    <w:rsid w:val="00A00568"/>
    <w:rsid w:val="00A00A73"/>
    <w:rsid w:val="00A0708A"/>
    <w:rsid w:val="00A0790C"/>
    <w:rsid w:val="00A07985"/>
    <w:rsid w:val="00A10FEF"/>
    <w:rsid w:val="00A120EF"/>
    <w:rsid w:val="00A13D5B"/>
    <w:rsid w:val="00A2356D"/>
    <w:rsid w:val="00A24A34"/>
    <w:rsid w:val="00A300B3"/>
    <w:rsid w:val="00A30C1D"/>
    <w:rsid w:val="00A35248"/>
    <w:rsid w:val="00A3693A"/>
    <w:rsid w:val="00A418D5"/>
    <w:rsid w:val="00A43402"/>
    <w:rsid w:val="00A459A0"/>
    <w:rsid w:val="00A52AE0"/>
    <w:rsid w:val="00A53273"/>
    <w:rsid w:val="00A534C9"/>
    <w:rsid w:val="00A56BF7"/>
    <w:rsid w:val="00A65554"/>
    <w:rsid w:val="00A65BA4"/>
    <w:rsid w:val="00A71DDE"/>
    <w:rsid w:val="00A755A1"/>
    <w:rsid w:val="00A82982"/>
    <w:rsid w:val="00A82DB4"/>
    <w:rsid w:val="00A85219"/>
    <w:rsid w:val="00A85D80"/>
    <w:rsid w:val="00A90658"/>
    <w:rsid w:val="00A90FF6"/>
    <w:rsid w:val="00A933A2"/>
    <w:rsid w:val="00AA08BE"/>
    <w:rsid w:val="00AA25B6"/>
    <w:rsid w:val="00AA2D89"/>
    <w:rsid w:val="00AA4D0F"/>
    <w:rsid w:val="00AA51B5"/>
    <w:rsid w:val="00AB1AB5"/>
    <w:rsid w:val="00AB3F7F"/>
    <w:rsid w:val="00AB487F"/>
    <w:rsid w:val="00AB5E39"/>
    <w:rsid w:val="00AC0559"/>
    <w:rsid w:val="00AC4CFC"/>
    <w:rsid w:val="00AC50C9"/>
    <w:rsid w:val="00AC5A75"/>
    <w:rsid w:val="00AC650E"/>
    <w:rsid w:val="00AC6D18"/>
    <w:rsid w:val="00AD3F85"/>
    <w:rsid w:val="00B0292F"/>
    <w:rsid w:val="00B03EBC"/>
    <w:rsid w:val="00B05062"/>
    <w:rsid w:val="00B11BE7"/>
    <w:rsid w:val="00B13D5F"/>
    <w:rsid w:val="00B15A0E"/>
    <w:rsid w:val="00B16609"/>
    <w:rsid w:val="00B17B2A"/>
    <w:rsid w:val="00B27D6A"/>
    <w:rsid w:val="00B320EA"/>
    <w:rsid w:val="00B431B2"/>
    <w:rsid w:val="00B527AA"/>
    <w:rsid w:val="00B54746"/>
    <w:rsid w:val="00B55A67"/>
    <w:rsid w:val="00B57685"/>
    <w:rsid w:val="00B608BD"/>
    <w:rsid w:val="00B61FA3"/>
    <w:rsid w:val="00B66271"/>
    <w:rsid w:val="00B73B89"/>
    <w:rsid w:val="00B804A2"/>
    <w:rsid w:val="00B83F53"/>
    <w:rsid w:val="00B85CB7"/>
    <w:rsid w:val="00B909D4"/>
    <w:rsid w:val="00B92CFA"/>
    <w:rsid w:val="00B93F87"/>
    <w:rsid w:val="00B95039"/>
    <w:rsid w:val="00B9792B"/>
    <w:rsid w:val="00BA09BD"/>
    <w:rsid w:val="00BA108E"/>
    <w:rsid w:val="00BA47BC"/>
    <w:rsid w:val="00BA4D8D"/>
    <w:rsid w:val="00BA51F3"/>
    <w:rsid w:val="00BB6CA7"/>
    <w:rsid w:val="00BB7F86"/>
    <w:rsid w:val="00BC04B6"/>
    <w:rsid w:val="00BC3634"/>
    <w:rsid w:val="00BC5C3D"/>
    <w:rsid w:val="00BD61C6"/>
    <w:rsid w:val="00BD7B1C"/>
    <w:rsid w:val="00BD7C98"/>
    <w:rsid w:val="00BE401E"/>
    <w:rsid w:val="00BF14B4"/>
    <w:rsid w:val="00BF23FF"/>
    <w:rsid w:val="00BF452B"/>
    <w:rsid w:val="00C00831"/>
    <w:rsid w:val="00C0115E"/>
    <w:rsid w:val="00C1265B"/>
    <w:rsid w:val="00C15623"/>
    <w:rsid w:val="00C20703"/>
    <w:rsid w:val="00C2112E"/>
    <w:rsid w:val="00C213EF"/>
    <w:rsid w:val="00C24786"/>
    <w:rsid w:val="00C259AF"/>
    <w:rsid w:val="00C267D1"/>
    <w:rsid w:val="00C26AA3"/>
    <w:rsid w:val="00C278CB"/>
    <w:rsid w:val="00C332BE"/>
    <w:rsid w:val="00C339E7"/>
    <w:rsid w:val="00C33CB1"/>
    <w:rsid w:val="00C379BA"/>
    <w:rsid w:val="00C43AC3"/>
    <w:rsid w:val="00C4498D"/>
    <w:rsid w:val="00C45E89"/>
    <w:rsid w:val="00C51275"/>
    <w:rsid w:val="00C52BFF"/>
    <w:rsid w:val="00C554F8"/>
    <w:rsid w:val="00C7243E"/>
    <w:rsid w:val="00C75901"/>
    <w:rsid w:val="00C76B66"/>
    <w:rsid w:val="00C822B4"/>
    <w:rsid w:val="00C830BD"/>
    <w:rsid w:val="00C858BC"/>
    <w:rsid w:val="00CA1D8E"/>
    <w:rsid w:val="00CA468E"/>
    <w:rsid w:val="00CB28BE"/>
    <w:rsid w:val="00CC5AFF"/>
    <w:rsid w:val="00CD1A79"/>
    <w:rsid w:val="00CD41AD"/>
    <w:rsid w:val="00CD42B9"/>
    <w:rsid w:val="00CE0221"/>
    <w:rsid w:val="00CE062B"/>
    <w:rsid w:val="00CE0808"/>
    <w:rsid w:val="00CE2772"/>
    <w:rsid w:val="00CE43EA"/>
    <w:rsid w:val="00CE6393"/>
    <w:rsid w:val="00CE6BA1"/>
    <w:rsid w:val="00CF6AAE"/>
    <w:rsid w:val="00CF7C54"/>
    <w:rsid w:val="00D0044F"/>
    <w:rsid w:val="00D03DD0"/>
    <w:rsid w:val="00D04453"/>
    <w:rsid w:val="00D05DD5"/>
    <w:rsid w:val="00D124C8"/>
    <w:rsid w:val="00D1388B"/>
    <w:rsid w:val="00D16BF8"/>
    <w:rsid w:val="00D2037B"/>
    <w:rsid w:val="00D22D3D"/>
    <w:rsid w:val="00D27411"/>
    <w:rsid w:val="00D31E65"/>
    <w:rsid w:val="00D50496"/>
    <w:rsid w:val="00D50D50"/>
    <w:rsid w:val="00D56730"/>
    <w:rsid w:val="00D620C0"/>
    <w:rsid w:val="00D648CE"/>
    <w:rsid w:val="00D65717"/>
    <w:rsid w:val="00D65F1D"/>
    <w:rsid w:val="00D70AA8"/>
    <w:rsid w:val="00D77A89"/>
    <w:rsid w:val="00D84D12"/>
    <w:rsid w:val="00D8788A"/>
    <w:rsid w:val="00D927D3"/>
    <w:rsid w:val="00D933FA"/>
    <w:rsid w:val="00DA0F47"/>
    <w:rsid w:val="00DA14CC"/>
    <w:rsid w:val="00DA1722"/>
    <w:rsid w:val="00DA44DC"/>
    <w:rsid w:val="00DA51D7"/>
    <w:rsid w:val="00DA6D01"/>
    <w:rsid w:val="00DB01CE"/>
    <w:rsid w:val="00DB1339"/>
    <w:rsid w:val="00DB3D26"/>
    <w:rsid w:val="00DB3F6A"/>
    <w:rsid w:val="00DB4BB2"/>
    <w:rsid w:val="00DB6ADA"/>
    <w:rsid w:val="00DC3F0D"/>
    <w:rsid w:val="00DC5D43"/>
    <w:rsid w:val="00DC6E9E"/>
    <w:rsid w:val="00DD04CC"/>
    <w:rsid w:val="00DD0BB5"/>
    <w:rsid w:val="00DE3978"/>
    <w:rsid w:val="00DF0952"/>
    <w:rsid w:val="00DF1DC5"/>
    <w:rsid w:val="00DF27F6"/>
    <w:rsid w:val="00DF28B1"/>
    <w:rsid w:val="00DF3897"/>
    <w:rsid w:val="00DF4A58"/>
    <w:rsid w:val="00DF542E"/>
    <w:rsid w:val="00E00194"/>
    <w:rsid w:val="00E010D4"/>
    <w:rsid w:val="00E0319B"/>
    <w:rsid w:val="00E03616"/>
    <w:rsid w:val="00E05D93"/>
    <w:rsid w:val="00E06F6C"/>
    <w:rsid w:val="00E103DB"/>
    <w:rsid w:val="00E12181"/>
    <w:rsid w:val="00E155D8"/>
    <w:rsid w:val="00E17535"/>
    <w:rsid w:val="00E17C21"/>
    <w:rsid w:val="00E2016D"/>
    <w:rsid w:val="00E21735"/>
    <w:rsid w:val="00E3114E"/>
    <w:rsid w:val="00E32E06"/>
    <w:rsid w:val="00E34CCB"/>
    <w:rsid w:val="00E4005B"/>
    <w:rsid w:val="00E4381C"/>
    <w:rsid w:val="00E457DD"/>
    <w:rsid w:val="00E46B60"/>
    <w:rsid w:val="00E46FE1"/>
    <w:rsid w:val="00E47626"/>
    <w:rsid w:val="00E47EEF"/>
    <w:rsid w:val="00E50237"/>
    <w:rsid w:val="00E54C04"/>
    <w:rsid w:val="00E573E7"/>
    <w:rsid w:val="00E64450"/>
    <w:rsid w:val="00E6453B"/>
    <w:rsid w:val="00E64A7F"/>
    <w:rsid w:val="00E65272"/>
    <w:rsid w:val="00E71353"/>
    <w:rsid w:val="00E74456"/>
    <w:rsid w:val="00E771BA"/>
    <w:rsid w:val="00E77D83"/>
    <w:rsid w:val="00E8307E"/>
    <w:rsid w:val="00E835DB"/>
    <w:rsid w:val="00E8399C"/>
    <w:rsid w:val="00E8432D"/>
    <w:rsid w:val="00E847B0"/>
    <w:rsid w:val="00E85770"/>
    <w:rsid w:val="00E92656"/>
    <w:rsid w:val="00E9329E"/>
    <w:rsid w:val="00E946AC"/>
    <w:rsid w:val="00E95255"/>
    <w:rsid w:val="00E96987"/>
    <w:rsid w:val="00EA3E14"/>
    <w:rsid w:val="00EA3E73"/>
    <w:rsid w:val="00EA5C27"/>
    <w:rsid w:val="00EA62F2"/>
    <w:rsid w:val="00EC1023"/>
    <w:rsid w:val="00EC15A4"/>
    <w:rsid w:val="00EC276D"/>
    <w:rsid w:val="00EC27F3"/>
    <w:rsid w:val="00EC28C4"/>
    <w:rsid w:val="00EC58F4"/>
    <w:rsid w:val="00ED2BA1"/>
    <w:rsid w:val="00ED2CF0"/>
    <w:rsid w:val="00ED389F"/>
    <w:rsid w:val="00EE3E3A"/>
    <w:rsid w:val="00EE4997"/>
    <w:rsid w:val="00EE49F4"/>
    <w:rsid w:val="00EE5539"/>
    <w:rsid w:val="00EF05BB"/>
    <w:rsid w:val="00EF5DE4"/>
    <w:rsid w:val="00EF6CA7"/>
    <w:rsid w:val="00F02CFA"/>
    <w:rsid w:val="00F11C91"/>
    <w:rsid w:val="00F12461"/>
    <w:rsid w:val="00F1729E"/>
    <w:rsid w:val="00F172DA"/>
    <w:rsid w:val="00F20A64"/>
    <w:rsid w:val="00F20E28"/>
    <w:rsid w:val="00F235D2"/>
    <w:rsid w:val="00F31061"/>
    <w:rsid w:val="00F31517"/>
    <w:rsid w:val="00F37B90"/>
    <w:rsid w:val="00F40846"/>
    <w:rsid w:val="00F432E8"/>
    <w:rsid w:val="00F43B29"/>
    <w:rsid w:val="00F46B2B"/>
    <w:rsid w:val="00F501ED"/>
    <w:rsid w:val="00F5175F"/>
    <w:rsid w:val="00F55347"/>
    <w:rsid w:val="00F613BE"/>
    <w:rsid w:val="00F646FC"/>
    <w:rsid w:val="00F71383"/>
    <w:rsid w:val="00F76587"/>
    <w:rsid w:val="00F80741"/>
    <w:rsid w:val="00F84902"/>
    <w:rsid w:val="00F84DCD"/>
    <w:rsid w:val="00F84EDB"/>
    <w:rsid w:val="00F9416C"/>
    <w:rsid w:val="00F97D5B"/>
    <w:rsid w:val="00FA513F"/>
    <w:rsid w:val="00FA677A"/>
    <w:rsid w:val="00FB6238"/>
    <w:rsid w:val="00FC1077"/>
    <w:rsid w:val="00FC4317"/>
    <w:rsid w:val="00FC57A3"/>
    <w:rsid w:val="00FD4820"/>
    <w:rsid w:val="00FD787E"/>
    <w:rsid w:val="00FE431A"/>
    <w:rsid w:val="00FF1F67"/>
    <w:rsid w:val="00FF316B"/>
    <w:rsid w:val="00FF5716"/>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A5C30"/>
  <w15:docId w15:val="{AE832E67-894E-43B9-866C-B6DF9D7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3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6415"/>
    <w:pPr>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306415"/>
    <w:pPr>
      <w:outlineLvl w:val="1"/>
    </w:pPr>
    <w:rPr>
      <w:rFonts w:ascii="Arial" w:hAnsi="Arial"/>
      <w:i/>
      <w:sz w:val="22"/>
      <w:szCs w:val="22"/>
    </w:rPr>
  </w:style>
  <w:style w:type="paragraph" w:styleId="Heading3">
    <w:name w:val="heading 3"/>
    <w:basedOn w:val="Normal"/>
    <w:link w:val="Heading3Char"/>
    <w:uiPriority w:val="9"/>
    <w:qFormat/>
    <w:rsid w:val="00306415"/>
    <w:pPr>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C34"/>
    <w:rPr>
      <w:rFonts w:asciiTheme="minorHAnsi" w:eastAsia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C34"/>
    <w:rPr>
      <w:rFonts w:ascii="Lucida Grande" w:eastAsia="Times New Roman" w:hAnsi="Lucida Grande" w:cs="Lucida Grande"/>
      <w:sz w:val="18"/>
      <w:szCs w:val="18"/>
    </w:rPr>
  </w:style>
  <w:style w:type="character" w:styleId="CommentReference">
    <w:name w:val="annotation reference"/>
    <w:uiPriority w:val="99"/>
    <w:rsid w:val="009B48EE"/>
    <w:rPr>
      <w:sz w:val="16"/>
    </w:rPr>
  </w:style>
  <w:style w:type="paragraph" w:styleId="CommentText">
    <w:name w:val="annotation text"/>
    <w:basedOn w:val="Normal"/>
    <w:link w:val="CommentTextChar"/>
    <w:uiPriority w:val="99"/>
    <w:rsid w:val="009B48EE"/>
  </w:style>
  <w:style w:type="character" w:customStyle="1" w:styleId="CommentTextChar">
    <w:name w:val="Comment Text Char"/>
    <w:basedOn w:val="DefaultParagraphFont"/>
    <w:link w:val="CommentText"/>
    <w:uiPriority w:val="99"/>
    <w:rsid w:val="009B48EE"/>
    <w:rPr>
      <w:rFonts w:ascii="Times New Roman" w:eastAsia="Times New Roman" w:hAnsi="Times New Roman" w:cs="Times New Roman"/>
      <w:sz w:val="24"/>
      <w:szCs w:val="24"/>
    </w:rPr>
  </w:style>
  <w:style w:type="paragraph" w:styleId="ListParagraph">
    <w:name w:val="List Paragraph"/>
    <w:basedOn w:val="Normal"/>
    <w:uiPriority w:val="34"/>
    <w:qFormat/>
    <w:rsid w:val="00104D59"/>
    <w:pPr>
      <w:ind w:left="720"/>
      <w:contextualSpacing/>
    </w:pPr>
  </w:style>
  <w:style w:type="paragraph" w:styleId="CommentSubject">
    <w:name w:val="annotation subject"/>
    <w:basedOn w:val="CommentText"/>
    <w:next w:val="CommentText"/>
    <w:link w:val="CommentSubjectChar"/>
    <w:uiPriority w:val="99"/>
    <w:semiHidden/>
    <w:unhideWhenUsed/>
    <w:rsid w:val="002053BE"/>
    <w:rPr>
      <w:b/>
      <w:bCs/>
      <w:sz w:val="20"/>
      <w:szCs w:val="20"/>
    </w:rPr>
  </w:style>
  <w:style w:type="character" w:customStyle="1" w:styleId="CommentSubjectChar">
    <w:name w:val="Comment Subject Char"/>
    <w:basedOn w:val="CommentTextChar"/>
    <w:link w:val="CommentSubject"/>
    <w:uiPriority w:val="99"/>
    <w:semiHidden/>
    <w:rsid w:val="002053B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2772"/>
    <w:pPr>
      <w:tabs>
        <w:tab w:val="center" w:pos="4680"/>
        <w:tab w:val="right" w:pos="9360"/>
      </w:tabs>
    </w:pPr>
  </w:style>
  <w:style w:type="character" w:customStyle="1" w:styleId="HeaderChar">
    <w:name w:val="Header Char"/>
    <w:basedOn w:val="DefaultParagraphFont"/>
    <w:link w:val="Header"/>
    <w:uiPriority w:val="99"/>
    <w:rsid w:val="00CE2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772"/>
    <w:pPr>
      <w:tabs>
        <w:tab w:val="center" w:pos="4680"/>
        <w:tab w:val="right" w:pos="9360"/>
      </w:tabs>
    </w:pPr>
  </w:style>
  <w:style w:type="character" w:customStyle="1" w:styleId="FooterChar">
    <w:name w:val="Footer Char"/>
    <w:basedOn w:val="DefaultParagraphFont"/>
    <w:link w:val="Footer"/>
    <w:uiPriority w:val="99"/>
    <w:rsid w:val="00CE277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C27F3"/>
  </w:style>
  <w:style w:type="paragraph" w:customStyle="1" w:styleId="EndNoteBibliographyTitle">
    <w:name w:val="EndNote Bibliography Title"/>
    <w:basedOn w:val="Normal"/>
    <w:link w:val="EndNoteBibliographyTitleChar"/>
    <w:rsid w:val="00437C8A"/>
    <w:pPr>
      <w:jc w:val="center"/>
    </w:pPr>
    <w:rPr>
      <w:noProof/>
    </w:rPr>
  </w:style>
  <w:style w:type="character" w:customStyle="1" w:styleId="EndNoteBibliographyTitleChar">
    <w:name w:val="EndNote Bibliography Title Char"/>
    <w:basedOn w:val="DefaultParagraphFont"/>
    <w:link w:val="EndNoteBibliographyTitle"/>
    <w:rsid w:val="00437C8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37C8A"/>
    <w:rPr>
      <w:noProof/>
    </w:rPr>
  </w:style>
  <w:style w:type="character" w:customStyle="1" w:styleId="EndNoteBibliographyChar">
    <w:name w:val="EndNote Bibliography Char"/>
    <w:basedOn w:val="DefaultParagraphFont"/>
    <w:link w:val="EndNoteBibliography"/>
    <w:rsid w:val="00437C8A"/>
    <w:rPr>
      <w:rFonts w:ascii="Times New Roman" w:eastAsia="Times New Roman" w:hAnsi="Times New Roman" w:cs="Times New Roman"/>
      <w:noProof/>
      <w:sz w:val="24"/>
      <w:szCs w:val="24"/>
    </w:rPr>
  </w:style>
  <w:style w:type="table" w:customStyle="1" w:styleId="PlainTable41">
    <w:name w:val="Plain Table 41"/>
    <w:basedOn w:val="TableNormal"/>
    <w:uiPriority w:val="44"/>
    <w:rsid w:val="008A0BFD"/>
    <w:rPr>
      <w:rFonts w:asciiTheme="minorHAnsi" w:eastAsiaTheme="minorHAnsi" w:hAnsi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99"/>
    <w:rsid w:val="008A0BFD"/>
    <w:rPr>
      <w:rFonts w:asciiTheme="minorHAnsi" w:eastAsiaTheme="minorHAnsi" w:hAnsi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492EAB"/>
  </w:style>
  <w:style w:type="paragraph" w:styleId="BodyText">
    <w:name w:val="Body Text"/>
    <w:basedOn w:val="Normal"/>
    <w:link w:val="BodyTextChar"/>
    <w:rsid w:val="00DA0F47"/>
    <w:rPr>
      <w:rFonts w:ascii="Tahoma" w:hAnsi="Tahoma"/>
    </w:rPr>
  </w:style>
  <w:style w:type="character" w:customStyle="1" w:styleId="BodyTextChar">
    <w:name w:val="Body Text Char"/>
    <w:basedOn w:val="DefaultParagraphFont"/>
    <w:link w:val="BodyText"/>
    <w:rsid w:val="00DA0F47"/>
    <w:rPr>
      <w:rFonts w:ascii="Tahoma" w:eastAsia="Times New Roman" w:hAnsi="Tahoma" w:cs="Times New Roman"/>
      <w:sz w:val="24"/>
      <w:szCs w:val="24"/>
    </w:rPr>
  </w:style>
  <w:style w:type="table" w:customStyle="1" w:styleId="PlainTable43">
    <w:name w:val="Plain Table 43"/>
    <w:basedOn w:val="TableNormal"/>
    <w:uiPriority w:val="99"/>
    <w:rsid w:val="004A20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3082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6415"/>
    <w:rPr>
      <w:rFonts w:eastAsia="Times New Roman" w:cs="Arial"/>
      <w:b/>
    </w:rPr>
  </w:style>
  <w:style w:type="character" w:customStyle="1" w:styleId="Heading2Char">
    <w:name w:val="Heading 2 Char"/>
    <w:basedOn w:val="DefaultParagraphFont"/>
    <w:link w:val="Heading2"/>
    <w:uiPriority w:val="9"/>
    <w:rsid w:val="00306415"/>
    <w:rPr>
      <w:rFonts w:eastAsia="Times New Roman" w:cs="Times New Roman"/>
      <w:i/>
    </w:rPr>
  </w:style>
  <w:style w:type="character" w:customStyle="1" w:styleId="Heading3Char">
    <w:name w:val="Heading 3 Char"/>
    <w:basedOn w:val="DefaultParagraphFont"/>
    <w:link w:val="Heading3"/>
    <w:uiPriority w:val="9"/>
    <w:rsid w:val="00306415"/>
    <w:rPr>
      <w:rFonts w:ascii="Times" w:eastAsiaTheme="minorHAnsi" w:hAnsi="Times"/>
      <w:b/>
      <w:bCs/>
      <w:sz w:val="27"/>
      <w:szCs w:val="27"/>
    </w:rPr>
  </w:style>
  <w:style w:type="character" w:styleId="Hyperlink">
    <w:name w:val="Hyperlink"/>
    <w:rsid w:val="00306415"/>
    <w:rPr>
      <w:color w:val="0000FF"/>
      <w:u w:val="single"/>
    </w:rPr>
  </w:style>
  <w:style w:type="paragraph" w:styleId="NormalWeb">
    <w:name w:val="Normal (Web)"/>
    <w:basedOn w:val="Normal"/>
    <w:uiPriority w:val="99"/>
    <w:semiHidden/>
    <w:unhideWhenUsed/>
    <w:rsid w:val="00306415"/>
    <w:pPr>
      <w:spacing w:before="100" w:beforeAutospacing="1" w:after="100" w:afterAutospacing="1"/>
    </w:pPr>
    <w:rPr>
      <w:rFonts w:ascii="Arial" w:eastAsiaTheme="minorHAnsi" w:hAnsi="Arial"/>
      <w:sz w:val="22"/>
    </w:rPr>
  </w:style>
  <w:style w:type="paragraph" w:styleId="DocumentMap">
    <w:name w:val="Document Map"/>
    <w:basedOn w:val="Normal"/>
    <w:link w:val="DocumentMapChar"/>
    <w:uiPriority w:val="99"/>
    <w:semiHidden/>
    <w:unhideWhenUsed/>
    <w:rsid w:val="00306415"/>
    <w:rPr>
      <w:rFonts w:ascii="Arial" w:hAnsi="Arial"/>
      <w:sz w:val="22"/>
    </w:rPr>
  </w:style>
  <w:style w:type="character" w:customStyle="1" w:styleId="DocumentMapChar">
    <w:name w:val="Document Map Char"/>
    <w:basedOn w:val="DefaultParagraphFont"/>
    <w:link w:val="DocumentMap"/>
    <w:uiPriority w:val="99"/>
    <w:semiHidden/>
    <w:rsid w:val="00306415"/>
    <w:rPr>
      <w:rFonts w:eastAsia="Times New Roman" w:cs="Times New Roman"/>
      <w:szCs w:val="24"/>
    </w:rPr>
  </w:style>
  <w:style w:type="character" w:customStyle="1" w:styleId="apple-converted-space">
    <w:name w:val="apple-converted-space"/>
    <w:basedOn w:val="DefaultParagraphFont"/>
    <w:rsid w:val="00306415"/>
  </w:style>
  <w:style w:type="paragraph" w:customStyle="1" w:styleId="norm">
    <w:name w:val="norm"/>
    <w:basedOn w:val="Normal"/>
    <w:rsid w:val="00306415"/>
    <w:pPr>
      <w:spacing w:before="100" w:beforeAutospacing="1" w:after="100" w:afterAutospacing="1"/>
    </w:pPr>
    <w:rPr>
      <w:rFonts w:ascii="Times" w:eastAsiaTheme="minorHAnsi" w:hAnsi="Times" w:cstheme="minorBidi"/>
      <w:sz w:val="20"/>
      <w:szCs w:val="20"/>
    </w:rPr>
  </w:style>
  <w:style w:type="character" w:styleId="Emphasis">
    <w:name w:val="Emphasis"/>
    <w:basedOn w:val="DefaultParagraphFont"/>
    <w:uiPriority w:val="20"/>
    <w:qFormat/>
    <w:rsid w:val="00306415"/>
    <w:rPr>
      <w:i/>
      <w:iCs/>
    </w:rPr>
  </w:style>
  <w:style w:type="character" w:styleId="FollowedHyperlink">
    <w:name w:val="FollowedHyperlink"/>
    <w:basedOn w:val="DefaultParagraphFont"/>
    <w:uiPriority w:val="99"/>
    <w:semiHidden/>
    <w:unhideWhenUsed/>
    <w:rsid w:val="00306415"/>
    <w:rPr>
      <w:color w:val="800080" w:themeColor="followedHyperlink"/>
      <w:u w:val="single"/>
    </w:rPr>
  </w:style>
  <w:style w:type="character" w:customStyle="1" w:styleId="highlight">
    <w:name w:val="highlight"/>
    <w:basedOn w:val="DefaultParagraphFont"/>
    <w:rsid w:val="00306415"/>
  </w:style>
  <w:style w:type="paragraph" w:customStyle="1" w:styleId="p1">
    <w:name w:val="p1"/>
    <w:basedOn w:val="Normal"/>
    <w:rsid w:val="00306415"/>
    <w:rPr>
      <w:rFonts w:ascii="Calibri" w:eastAsiaTheme="minorHAnsi" w:hAnsi="Calibri"/>
      <w:sz w:val="21"/>
      <w:szCs w:val="21"/>
    </w:rPr>
  </w:style>
  <w:style w:type="character" w:customStyle="1" w:styleId="s1">
    <w:name w:val="s1"/>
    <w:basedOn w:val="DefaultParagraphFont"/>
    <w:rsid w:val="00306415"/>
  </w:style>
  <w:style w:type="paragraph" w:customStyle="1" w:styleId="p">
    <w:name w:val="p"/>
    <w:basedOn w:val="Normal"/>
    <w:rsid w:val="00306415"/>
    <w:pPr>
      <w:spacing w:before="100" w:beforeAutospacing="1" w:after="100" w:afterAutospacing="1"/>
    </w:pPr>
    <w:rPr>
      <w:rFonts w:ascii="Times" w:eastAsiaTheme="minorHAnsi" w:hAnsi="Times" w:cstheme="minorBidi"/>
      <w:sz w:val="20"/>
      <w:szCs w:val="20"/>
    </w:rPr>
  </w:style>
  <w:style w:type="paragraph" w:customStyle="1" w:styleId="DataField11pt-Single">
    <w:name w:val="Data Field 11pt-Single"/>
    <w:basedOn w:val="Normal"/>
    <w:link w:val="DataField11pt-SingleChar"/>
    <w:rsid w:val="00306415"/>
    <w:pPr>
      <w:autoSpaceDE w:val="0"/>
      <w:autoSpaceDN w:val="0"/>
    </w:pPr>
    <w:rPr>
      <w:rFonts w:ascii="Arial" w:hAnsi="Arial" w:cs="Arial"/>
      <w:sz w:val="22"/>
      <w:szCs w:val="20"/>
    </w:rPr>
  </w:style>
  <w:style w:type="character" w:customStyle="1" w:styleId="DataField11pt-SingleChar">
    <w:name w:val="Data Field 11pt-Single Char"/>
    <w:link w:val="DataField11pt-Single"/>
    <w:rsid w:val="00306415"/>
    <w:rPr>
      <w:rFonts w:eastAsia="Times New Roman" w:cs="Arial"/>
      <w:szCs w:val="20"/>
    </w:rPr>
  </w:style>
  <w:style w:type="character" w:customStyle="1" w:styleId="ref-lnk">
    <w:name w:val="ref-lnk"/>
    <w:basedOn w:val="DefaultParagraphFont"/>
    <w:rsid w:val="00306415"/>
  </w:style>
  <w:style w:type="character" w:customStyle="1" w:styleId="ref-overlay">
    <w:name w:val="ref-overlay"/>
    <w:basedOn w:val="DefaultParagraphFont"/>
    <w:rsid w:val="00306415"/>
  </w:style>
  <w:style w:type="character" w:customStyle="1" w:styleId="hlfld-contribauthor">
    <w:name w:val="hlfld-contribauthor"/>
    <w:basedOn w:val="DefaultParagraphFont"/>
    <w:rsid w:val="00306415"/>
  </w:style>
  <w:style w:type="character" w:customStyle="1" w:styleId="nlmgiven-names">
    <w:name w:val="nlm_given-names"/>
    <w:basedOn w:val="DefaultParagraphFont"/>
    <w:rsid w:val="00306415"/>
  </w:style>
  <w:style w:type="character" w:customStyle="1" w:styleId="nlmarticle-title">
    <w:name w:val="nlm_article-title"/>
    <w:basedOn w:val="DefaultParagraphFont"/>
    <w:rsid w:val="00306415"/>
  </w:style>
  <w:style w:type="character" w:customStyle="1" w:styleId="nlmyear">
    <w:name w:val="nlm_year"/>
    <w:basedOn w:val="DefaultParagraphFont"/>
    <w:rsid w:val="00306415"/>
  </w:style>
  <w:style w:type="character" w:customStyle="1" w:styleId="nlmfpage">
    <w:name w:val="nlm_fpage"/>
    <w:basedOn w:val="DefaultParagraphFont"/>
    <w:rsid w:val="00306415"/>
  </w:style>
  <w:style w:type="character" w:customStyle="1" w:styleId="nlmlpage">
    <w:name w:val="nlm_lpage"/>
    <w:basedOn w:val="DefaultParagraphFont"/>
    <w:rsid w:val="00306415"/>
  </w:style>
  <w:style w:type="character" w:customStyle="1" w:styleId="ref-links">
    <w:name w:val="ref-links"/>
    <w:basedOn w:val="DefaultParagraphFont"/>
    <w:rsid w:val="00306415"/>
  </w:style>
  <w:style w:type="character" w:customStyle="1" w:styleId="xlinks-container">
    <w:name w:val="xlinks-container"/>
    <w:basedOn w:val="DefaultParagraphFont"/>
    <w:rsid w:val="00306415"/>
  </w:style>
  <w:style w:type="character" w:customStyle="1" w:styleId="googlescholar-container">
    <w:name w:val="googlescholar-container"/>
    <w:basedOn w:val="DefaultParagraphFont"/>
    <w:rsid w:val="00306415"/>
  </w:style>
  <w:style w:type="paragraph" w:styleId="PlainText">
    <w:name w:val="Plain Text"/>
    <w:basedOn w:val="Normal"/>
    <w:link w:val="PlainTextChar"/>
    <w:uiPriority w:val="99"/>
    <w:unhideWhenUsed/>
    <w:rsid w:val="003064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6415"/>
    <w:rPr>
      <w:rFonts w:ascii="Calibri" w:eastAsiaTheme="minorHAnsi" w:hAnsi="Calibri"/>
      <w:szCs w:val="21"/>
    </w:rPr>
  </w:style>
  <w:style w:type="paragraph" w:customStyle="1" w:styleId="Default">
    <w:name w:val="Default"/>
    <w:rsid w:val="00306415"/>
    <w:pPr>
      <w:widowControl w:val="0"/>
      <w:autoSpaceDE w:val="0"/>
      <w:autoSpaceDN w:val="0"/>
      <w:adjustRightInd w:val="0"/>
    </w:pPr>
    <w:rPr>
      <w:rFonts w:eastAsiaTheme="minorHAnsi" w:cs="Arial"/>
      <w:color w:val="000000"/>
      <w:sz w:val="24"/>
      <w:szCs w:val="24"/>
    </w:rPr>
  </w:style>
  <w:style w:type="paragraph" w:styleId="NoSpacing">
    <w:name w:val="No Spacing"/>
    <w:uiPriority w:val="1"/>
    <w:qFormat/>
    <w:rsid w:val="00306415"/>
    <w:rPr>
      <w:rFonts w:ascii="Times New Roman" w:eastAsia="Times New Roman" w:hAnsi="Times New Roman" w:cs="Times New Roman"/>
      <w:sz w:val="24"/>
      <w:szCs w:val="24"/>
    </w:rPr>
  </w:style>
  <w:style w:type="character" w:styleId="Strong">
    <w:name w:val="Strong"/>
    <w:basedOn w:val="DefaultParagraphFont"/>
    <w:uiPriority w:val="22"/>
    <w:qFormat/>
    <w:rsid w:val="00306415"/>
    <w:rPr>
      <w:b/>
      <w:bCs/>
    </w:rPr>
  </w:style>
  <w:style w:type="character" w:customStyle="1" w:styleId="id-label">
    <w:name w:val="id-label"/>
    <w:basedOn w:val="DefaultParagraphFont"/>
    <w:rsid w:val="00306415"/>
  </w:style>
  <w:style w:type="character" w:customStyle="1" w:styleId="UnresolvedMention1">
    <w:name w:val="Unresolved Mention1"/>
    <w:basedOn w:val="DefaultParagraphFont"/>
    <w:uiPriority w:val="99"/>
    <w:semiHidden/>
    <w:unhideWhenUsed/>
    <w:rsid w:val="00306415"/>
    <w:rPr>
      <w:color w:val="605E5C"/>
      <w:shd w:val="clear" w:color="auto" w:fill="E1DFDD"/>
    </w:rPr>
  </w:style>
  <w:style w:type="character" w:styleId="PlaceholderText">
    <w:name w:val="Placeholder Text"/>
    <w:basedOn w:val="DefaultParagraphFont"/>
    <w:uiPriority w:val="99"/>
    <w:semiHidden/>
    <w:rsid w:val="00306415"/>
    <w:rPr>
      <w:color w:val="808080"/>
    </w:rPr>
  </w:style>
  <w:style w:type="table" w:customStyle="1" w:styleId="Style1">
    <w:name w:val="Style1"/>
    <w:basedOn w:val="LightShading"/>
    <w:uiPriority w:val="99"/>
    <w:qFormat/>
    <w:rsid w:val="00306415"/>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06415"/>
    <w:rPr>
      <w:rFonts w:asciiTheme="minorHAnsi" w:eastAsia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mmentSubjectChar1">
    <w:name w:val="Comment Subject Char1"/>
    <w:basedOn w:val="CommentTextChar"/>
    <w:uiPriority w:val="99"/>
    <w:semiHidden/>
    <w:rsid w:val="00306415"/>
    <w:rPr>
      <w:rFonts w:ascii="Times New Roman" w:eastAsia="Times New Roman" w:hAnsi="Times New Roman" w:cs="Times New Roman"/>
      <w:b/>
      <w:bCs/>
      <w:sz w:val="24"/>
      <w:szCs w:val="24"/>
    </w:rPr>
  </w:style>
  <w:style w:type="character" w:customStyle="1" w:styleId="docsum-pmid">
    <w:name w:val="docsum-pmid"/>
    <w:basedOn w:val="DefaultParagraphFont"/>
    <w:rsid w:val="0030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3421">
      <w:bodyDiv w:val="1"/>
      <w:marLeft w:val="0"/>
      <w:marRight w:val="0"/>
      <w:marTop w:val="0"/>
      <w:marBottom w:val="0"/>
      <w:divBdr>
        <w:top w:val="none" w:sz="0" w:space="0" w:color="auto"/>
        <w:left w:val="none" w:sz="0" w:space="0" w:color="auto"/>
        <w:bottom w:val="none" w:sz="0" w:space="0" w:color="auto"/>
        <w:right w:val="none" w:sz="0" w:space="0" w:color="auto"/>
      </w:divBdr>
    </w:div>
    <w:div w:id="615873782">
      <w:bodyDiv w:val="1"/>
      <w:marLeft w:val="0"/>
      <w:marRight w:val="0"/>
      <w:marTop w:val="0"/>
      <w:marBottom w:val="0"/>
      <w:divBdr>
        <w:top w:val="none" w:sz="0" w:space="0" w:color="auto"/>
        <w:left w:val="none" w:sz="0" w:space="0" w:color="auto"/>
        <w:bottom w:val="none" w:sz="0" w:space="0" w:color="auto"/>
        <w:right w:val="none" w:sz="0" w:space="0" w:color="auto"/>
      </w:divBdr>
    </w:div>
    <w:div w:id="626739588">
      <w:bodyDiv w:val="1"/>
      <w:marLeft w:val="0"/>
      <w:marRight w:val="0"/>
      <w:marTop w:val="0"/>
      <w:marBottom w:val="0"/>
      <w:divBdr>
        <w:top w:val="none" w:sz="0" w:space="0" w:color="auto"/>
        <w:left w:val="none" w:sz="0" w:space="0" w:color="auto"/>
        <w:bottom w:val="none" w:sz="0" w:space="0" w:color="auto"/>
        <w:right w:val="none" w:sz="0" w:space="0" w:color="auto"/>
      </w:divBdr>
    </w:div>
    <w:div w:id="795759776">
      <w:bodyDiv w:val="1"/>
      <w:marLeft w:val="0"/>
      <w:marRight w:val="0"/>
      <w:marTop w:val="0"/>
      <w:marBottom w:val="0"/>
      <w:divBdr>
        <w:top w:val="none" w:sz="0" w:space="0" w:color="auto"/>
        <w:left w:val="none" w:sz="0" w:space="0" w:color="auto"/>
        <w:bottom w:val="none" w:sz="0" w:space="0" w:color="auto"/>
        <w:right w:val="none" w:sz="0" w:space="0" w:color="auto"/>
      </w:divBdr>
    </w:div>
    <w:div w:id="840245061">
      <w:bodyDiv w:val="1"/>
      <w:marLeft w:val="0"/>
      <w:marRight w:val="0"/>
      <w:marTop w:val="0"/>
      <w:marBottom w:val="0"/>
      <w:divBdr>
        <w:top w:val="none" w:sz="0" w:space="0" w:color="auto"/>
        <w:left w:val="none" w:sz="0" w:space="0" w:color="auto"/>
        <w:bottom w:val="none" w:sz="0" w:space="0" w:color="auto"/>
        <w:right w:val="none" w:sz="0" w:space="0" w:color="auto"/>
      </w:divBdr>
    </w:div>
    <w:div w:id="1070928376">
      <w:bodyDiv w:val="1"/>
      <w:marLeft w:val="0"/>
      <w:marRight w:val="0"/>
      <w:marTop w:val="0"/>
      <w:marBottom w:val="0"/>
      <w:divBdr>
        <w:top w:val="none" w:sz="0" w:space="0" w:color="auto"/>
        <w:left w:val="none" w:sz="0" w:space="0" w:color="auto"/>
        <w:bottom w:val="none" w:sz="0" w:space="0" w:color="auto"/>
        <w:right w:val="none" w:sz="0" w:space="0" w:color="auto"/>
      </w:divBdr>
    </w:div>
    <w:div w:id="1309896701">
      <w:bodyDiv w:val="1"/>
      <w:marLeft w:val="120"/>
      <w:marRight w:val="12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1746">
      <w:bodyDiv w:val="1"/>
      <w:marLeft w:val="0"/>
      <w:marRight w:val="0"/>
      <w:marTop w:val="0"/>
      <w:marBottom w:val="0"/>
      <w:divBdr>
        <w:top w:val="none" w:sz="0" w:space="0" w:color="auto"/>
        <w:left w:val="none" w:sz="0" w:space="0" w:color="auto"/>
        <w:bottom w:val="none" w:sz="0" w:space="0" w:color="auto"/>
        <w:right w:val="none" w:sz="0" w:space="0" w:color="auto"/>
      </w:divBdr>
    </w:div>
    <w:div w:id="1867981506">
      <w:bodyDiv w:val="1"/>
      <w:marLeft w:val="0"/>
      <w:marRight w:val="0"/>
      <w:marTop w:val="0"/>
      <w:marBottom w:val="0"/>
      <w:divBdr>
        <w:top w:val="none" w:sz="0" w:space="0" w:color="auto"/>
        <w:left w:val="none" w:sz="0" w:space="0" w:color="auto"/>
        <w:bottom w:val="none" w:sz="0" w:space="0" w:color="auto"/>
        <w:right w:val="none" w:sz="0" w:space="0" w:color="auto"/>
      </w:divBdr>
      <w:divsChild>
        <w:div w:id="434833083">
          <w:marLeft w:val="0"/>
          <w:marRight w:val="0"/>
          <w:marTop w:val="0"/>
          <w:marBottom w:val="0"/>
          <w:divBdr>
            <w:top w:val="none" w:sz="0" w:space="0" w:color="auto"/>
            <w:left w:val="none" w:sz="0" w:space="0" w:color="auto"/>
            <w:bottom w:val="none" w:sz="0" w:space="0" w:color="auto"/>
            <w:right w:val="none" w:sz="0" w:space="0" w:color="auto"/>
          </w:divBdr>
        </w:div>
        <w:div w:id="957031092">
          <w:marLeft w:val="0"/>
          <w:marRight w:val="0"/>
          <w:marTop w:val="0"/>
          <w:marBottom w:val="0"/>
          <w:divBdr>
            <w:top w:val="none" w:sz="0" w:space="0" w:color="auto"/>
            <w:left w:val="none" w:sz="0" w:space="0" w:color="auto"/>
            <w:bottom w:val="none" w:sz="0" w:space="0" w:color="auto"/>
            <w:right w:val="none" w:sz="0" w:space="0" w:color="auto"/>
          </w:divBdr>
        </w:div>
        <w:div w:id="1109355949">
          <w:marLeft w:val="0"/>
          <w:marRight w:val="0"/>
          <w:marTop w:val="0"/>
          <w:marBottom w:val="0"/>
          <w:divBdr>
            <w:top w:val="none" w:sz="0" w:space="0" w:color="auto"/>
            <w:left w:val="none" w:sz="0" w:space="0" w:color="auto"/>
            <w:bottom w:val="none" w:sz="0" w:space="0" w:color="auto"/>
            <w:right w:val="none" w:sz="0" w:space="0" w:color="auto"/>
          </w:divBdr>
        </w:div>
        <w:div w:id="15965516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078C6-ADF8-4E7B-A6B2-B0024C22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7335</Words>
  <Characters>41814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dc:creator>
  <cp:keywords/>
  <dc:description/>
  <cp:lastModifiedBy>Scott, Jessica M./Medicine</cp:lastModifiedBy>
  <cp:revision>3</cp:revision>
  <dcterms:created xsi:type="dcterms:W3CDTF">2021-09-01T18:58:00Z</dcterms:created>
  <dcterms:modified xsi:type="dcterms:W3CDTF">2021-09-01T19:17:00Z</dcterms:modified>
</cp:coreProperties>
</file>