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EF" w:rsidRPr="001A7AF9" w:rsidRDefault="001637EF" w:rsidP="001637EF">
      <w:pPr>
        <w:rPr>
          <w:rFonts w:ascii="Arial" w:hAnsi="Arial" w:cs="Arial"/>
          <w:bCs/>
          <w:sz w:val="20"/>
          <w:szCs w:val="20"/>
          <w:lang w:val="en-GB"/>
        </w:rPr>
      </w:pPr>
      <w:r w:rsidRPr="00DF4B1D">
        <w:rPr>
          <w:rFonts w:ascii="Arial" w:hAnsi="Arial" w:cs="Arial"/>
          <w:b/>
          <w:sz w:val="20"/>
          <w:szCs w:val="20"/>
          <w:lang w:val="en-GB"/>
        </w:rPr>
        <w:t xml:space="preserve">Table 1: </w:t>
      </w:r>
      <w:r w:rsidRPr="00DF4B1D">
        <w:rPr>
          <w:rFonts w:ascii="Arial" w:hAnsi="Arial" w:cs="Arial"/>
          <w:bCs/>
          <w:sz w:val="20"/>
          <w:szCs w:val="20"/>
          <w:lang w:val="en-GB"/>
        </w:rPr>
        <w:t xml:space="preserve">Validity of key variables registered in </w:t>
      </w:r>
      <w:proofErr w:type="spellStart"/>
      <w:r w:rsidRPr="00DF4B1D">
        <w:rPr>
          <w:rFonts w:ascii="Arial" w:hAnsi="Arial" w:cs="Arial"/>
          <w:bCs/>
          <w:sz w:val="20"/>
          <w:szCs w:val="20"/>
          <w:lang w:val="en-GB"/>
        </w:rPr>
        <w:t>NKLR</w:t>
      </w:r>
      <w:proofErr w:type="spellEnd"/>
      <w:r w:rsidRPr="00DF4B1D">
        <w:rPr>
          <w:rFonts w:ascii="Arial" w:hAnsi="Arial" w:cs="Arial"/>
          <w:bCs/>
          <w:sz w:val="20"/>
          <w:szCs w:val="20"/>
          <w:lang w:val="en-GB"/>
        </w:rPr>
        <w:t xml:space="preserve"> for primary reconstructions</w:t>
      </w:r>
    </w:p>
    <w:p w:rsidR="008826C7" w:rsidRDefault="008826C7" w:rsidP="004A19D8">
      <w:pPr>
        <w:pStyle w:val="NormalWeb"/>
        <w:spacing w:before="0" w:beforeAutospacing="0" w:after="200" w:afterAutospacing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ellrutenett"/>
        <w:tblpPr w:leftFromText="141" w:rightFromText="141" w:vertAnchor="text" w:horzAnchor="page" w:tblpX="841" w:tblpY="-99"/>
        <w:tblW w:w="10201" w:type="dxa"/>
        <w:tblLook w:val="0480" w:firstRow="0" w:lastRow="0" w:firstColumn="1" w:lastColumn="0" w:noHBand="0" w:noVBand="1"/>
      </w:tblPr>
      <w:tblGrid>
        <w:gridCol w:w="2382"/>
        <w:gridCol w:w="1724"/>
        <w:gridCol w:w="567"/>
        <w:gridCol w:w="1134"/>
        <w:gridCol w:w="1276"/>
        <w:gridCol w:w="1134"/>
        <w:gridCol w:w="1984"/>
      </w:tblGrid>
      <w:tr w:rsidR="001637EF" w:rsidRPr="00DF4B1D" w:rsidTr="001637EF">
        <w:trPr>
          <w:trHeight w:val="699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NKLR</w:t>
            </w:r>
            <w:proofErr w:type="spellEnd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database</w:t>
            </w:r>
          </w:p>
        </w:tc>
        <w:tc>
          <w:tcPr>
            <w:tcW w:w="1701" w:type="dxa"/>
            <w:gridSpan w:val="2"/>
          </w:tcPr>
          <w:p w:rsidR="001637EF" w:rsidRPr="00B51EBF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EBF">
              <w:rPr>
                <w:rFonts w:ascii="Arial" w:hAnsi="Arial" w:cs="Arial"/>
                <w:b/>
                <w:sz w:val="20"/>
                <w:szCs w:val="20"/>
                <w:lang w:val="en-GB"/>
              </w:rPr>
              <w:t>Medical record</w:t>
            </w:r>
          </w:p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   No          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Missing in medical record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Missing in </w:t>
            </w:r>
            <w:proofErr w:type="spellStart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NKLR</w:t>
            </w:r>
            <w:proofErr w:type="spellEnd"/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PPV</w:t>
            </w:r>
            <w:proofErr w:type="spellEnd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% (95% CI)</w:t>
            </w:r>
          </w:p>
        </w:tc>
      </w:tr>
      <w:tr w:rsidR="001637EF" w:rsidRPr="00DF4B1D" w:rsidTr="001637EF">
        <w:trPr>
          <w:trHeight w:val="271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Cartilage lesions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17/17 = 100</w:t>
            </w:r>
          </w:p>
        </w:tc>
      </w:tr>
      <w:tr w:rsidR="001637EF" w:rsidRPr="00DF4B1D" w:rsidTr="001637EF">
        <w:trPr>
          <w:trHeight w:val="413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Meniscal lesions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34/34 = 100</w:t>
            </w:r>
          </w:p>
        </w:tc>
      </w:tr>
      <w:tr w:rsidR="001637EF" w:rsidRPr="00DF4B1D" w:rsidTr="001637EF">
        <w:trPr>
          <w:trHeight w:val="413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Diagnosis of ACL lesion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82/82 = 100</w:t>
            </w:r>
          </w:p>
        </w:tc>
      </w:tr>
      <w:tr w:rsidR="001637EF" w:rsidRPr="00DF4B1D" w:rsidTr="001637EF">
        <w:trPr>
          <w:trHeight w:val="398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Other ligament lesions</w:t>
            </w:r>
            <w:r w:rsidRPr="00DF4B1D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†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12/12 = 100</w:t>
            </w:r>
          </w:p>
        </w:tc>
      </w:tr>
    </w:tbl>
    <w:p w:rsidR="001A7AF9" w:rsidRPr="001A7AF9" w:rsidRDefault="001A7AF9" w:rsidP="001A7AF9">
      <w:pPr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ellrutenett"/>
        <w:tblpPr w:leftFromText="141" w:rightFromText="141" w:vertAnchor="text" w:horzAnchor="margin" w:tblpXSpec="center" w:tblpY="144"/>
        <w:tblW w:w="10201" w:type="dxa"/>
        <w:tblLook w:val="04A0" w:firstRow="1" w:lastRow="0" w:firstColumn="1" w:lastColumn="0" w:noHBand="0" w:noVBand="1"/>
      </w:tblPr>
      <w:tblGrid>
        <w:gridCol w:w="2382"/>
        <w:gridCol w:w="1724"/>
        <w:gridCol w:w="1701"/>
        <w:gridCol w:w="1276"/>
        <w:gridCol w:w="1134"/>
        <w:gridCol w:w="1984"/>
      </w:tblGrid>
      <w:tr w:rsidR="001637EF" w:rsidRPr="00DF4B1D" w:rsidTr="001637EF">
        <w:trPr>
          <w:trHeight w:val="425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 of validation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cases 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Missing in medical record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Missing in </w:t>
            </w:r>
            <w:proofErr w:type="spellStart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NKLR</w:t>
            </w:r>
            <w:proofErr w:type="spellEnd"/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PPV</w:t>
            </w:r>
            <w:proofErr w:type="spellEnd"/>
            <w:r w:rsidRPr="00DF4B1D">
              <w:rPr>
                <w:rFonts w:ascii="Arial" w:hAnsi="Arial" w:cs="Arial"/>
                <w:b/>
                <w:sz w:val="20"/>
                <w:szCs w:val="20"/>
                <w:lang w:val="en-GB"/>
              </w:rPr>
              <w:t>% (95% CI)</w:t>
            </w:r>
          </w:p>
        </w:tc>
      </w:tr>
      <w:tr w:rsidR="001637EF" w:rsidRPr="00DF4B1D" w:rsidTr="001637EF">
        <w:trPr>
          <w:trHeight w:val="286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OP date</w:t>
            </w:r>
            <w:r w:rsidRPr="00DF4B1D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‡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83/83 = 100</w:t>
            </w:r>
          </w:p>
        </w:tc>
      </w:tr>
      <w:tr w:rsidR="001637EF" w:rsidRPr="00DF4B1D" w:rsidTr="001637EF"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Index knee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83/83 = 100</w:t>
            </w:r>
          </w:p>
        </w:tc>
      </w:tr>
      <w:tr w:rsidR="001637EF" w:rsidRPr="00DF4B1D" w:rsidTr="001637EF">
        <w:tc>
          <w:tcPr>
            <w:tcW w:w="2382" w:type="dxa"/>
          </w:tcPr>
          <w:p w:rsidR="001637EF" w:rsidRPr="00DF4B1D" w:rsidRDefault="001637EF" w:rsidP="001637EF">
            <w:pPr>
              <w:rPr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Graft choice</w:t>
            </w:r>
            <w:r w:rsidRPr="00DF4B1D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§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82/83 = 99 (93-100)</w:t>
            </w:r>
          </w:p>
        </w:tc>
      </w:tr>
      <w:tr w:rsidR="001637EF" w:rsidRPr="00DF4B1D" w:rsidTr="001637EF"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Method of fixation in femur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Partly identical</w:t>
            </w:r>
            <w:r w:rsidRPr="00DF4B1D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¶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77/80 = 96 (89-100)</w:t>
            </w:r>
          </w:p>
        </w:tc>
      </w:tr>
      <w:tr w:rsidR="001637EF" w:rsidRPr="00DF4B1D" w:rsidTr="001637EF"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Method of fixation in tibia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Partly identical</w:t>
            </w:r>
            <w:r w:rsidRPr="00DF4B1D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¶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82/82 = 100</w:t>
            </w:r>
          </w:p>
        </w:tc>
      </w:tr>
      <w:tr w:rsidR="001637EF" w:rsidRPr="00DF4B1D" w:rsidTr="001637EF"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Activity at the time of injury</w:t>
            </w: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75/76 = 99 (92-100)</w:t>
            </w:r>
          </w:p>
        </w:tc>
      </w:tr>
      <w:tr w:rsidR="001637EF" w:rsidRPr="00DF4B1D" w:rsidTr="001637EF">
        <w:trPr>
          <w:trHeight w:val="689"/>
        </w:trPr>
        <w:tc>
          <w:tcPr>
            <w:tcW w:w="2382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Date of injury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701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:rsidR="001637EF" w:rsidRPr="00DF4B1D" w:rsidRDefault="001637EF" w:rsidP="001637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1D">
              <w:rPr>
                <w:rFonts w:ascii="Arial" w:hAnsi="Arial" w:cs="Arial"/>
                <w:sz w:val="20"/>
                <w:szCs w:val="20"/>
                <w:lang w:val="en-GB"/>
              </w:rPr>
              <w:t>72/78 = 92 (84-97)</w:t>
            </w:r>
          </w:p>
        </w:tc>
      </w:tr>
    </w:tbl>
    <w:p w:rsidR="001637EF" w:rsidRDefault="001637EF" w:rsidP="001A7AF9">
      <w:pPr>
        <w:rPr>
          <w:rFonts w:ascii="Arial" w:hAnsi="Arial" w:cs="Arial"/>
          <w:b/>
          <w:sz w:val="20"/>
          <w:szCs w:val="20"/>
          <w:lang w:val="en-GB"/>
        </w:rPr>
      </w:pPr>
    </w:p>
    <w:p w:rsidR="001A7AF9" w:rsidRDefault="001A7AF9" w:rsidP="001A7AF9">
      <w:pPr>
        <w:rPr>
          <w:rFonts w:ascii="Arial" w:hAnsi="Arial" w:cs="Arial"/>
          <w:color w:val="000000"/>
          <w:sz w:val="20"/>
          <w:szCs w:val="20"/>
          <w:lang w:val="en-GB"/>
        </w:rPr>
      </w:pPr>
      <w:bookmarkStart w:id="0" w:name="_GoBack"/>
      <w:bookmarkEnd w:id="0"/>
      <w:r w:rsidRPr="00DF4B1D">
        <w:rPr>
          <w:rFonts w:ascii="Arial" w:hAnsi="Arial" w:cs="Arial"/>
          <w:b/>
          <w:sz w:val="20"/>
          <w:szCs w:val="20"/>
          <w:lang w:val="en-GB"/>
        </w:rPr>
        <w:t>Footnotes: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DF4B1D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 xml:space="preserve">† 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Includes PCL, MCL, </w:t>
      </w:r>
      <w:proofErr w:type="spellStart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LCL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 PLC. </w:t>
      </w:r>
      <w:r w:rsidRPr="00DF4B1D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‡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 Date of operation has to be identical (exact date) to </w:t>
      </w:r>
    </w:p>
    <w:p w:rsidR="001A7AF9" w:rsidRPr="00DF4B1D" w:rsidRDefault="001A7AF9" w:rsidP="001A7AF9">
      <w:pPr>
        <w:rPr>
          <w:lang w:val="en-GB"/>
        </w:rPr>
      </w:pP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be regarded as correct. </w:t>
      </w:r>
      <w:r w:rsidRPr="00DF4B1D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§</w:t>
      </w:r>
      <w:r w:rsidRPr="00DF4B1D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 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Includes </w:t>
      </w:r>
      <w:proofErr w:type="spellStart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BPTB</w:t>
      </w:r>
      <w:proofErr w:type="spellEnd"/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, hamstring, other types of grafts and no graft chosen.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           </w:t>
      </w:r>
      <w:r w:rsidRPr="00DF4B1D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 xml:space="preserve">¶ </w:t>
      </w:r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Patients with both ACL and PCL lesions, but only one of the lesions registered in the </w:t>
      </w:r>
      <w:proofErr w:type="spellStart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NKLR</w:t>
      </w:r>
      <w:proofErr w:type="spellEnd"/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, are labelled “partly identical” and are not taken into account when the </w:t>
      </w:r>
      <w:proofErr w:type="spellStart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PPVs</w:t>
      </w:r>
      <w:proofErr w:type="spellEnd"/>
      <w:r w:rsidRPr="00DF4B1D">
        <w:rPr>
          <w:rFonts w:ascii="Arial" w:hAnsi="Arial" w:cs="Arial"/>
          <w:color w:val="000000"/>
          <w:sz w:val="20"/>
          <w:szCs w:val="20"/>
          <w:lang w:val="en-GB"/>
        </w:rPr>
        <w:t xml:space="preserve"> are computed.</w:t>
      </w:r>
    </w:p>
    <w:p w:rsidR="001A7AF9" w:rsidRPr="00DF4B1D" w:rsidRDefault="001A7AF9" w:rsidP="001A7AF9">
      <w:pPr>
        <w:rPr>
          <w:lang w:val="en-GB"/>
        </w:rPr>
      </w:pPr>
    </w:p>
    <w:p w:rsidR="001A7AF9" w:rsidRDefault="001A7AF9" w:rsidP="001A7AF9">
      <w:pPr>
        <w:pStyle w:val="NormalWeb"/>
        <w:spacing w:before="0" w:beforeAutospacing="0" w:after="200" w:afterAutospacing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F4B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Abbreviations: </w:t>
      </w:r>
      <w:proofErr w:type="spellStart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NKLR</w:t>
      </w:r>
      <w:proofErr w:type="spellEnd"/>
      <w:r w:rsidRPr="00DF4B1D">
        <w:rPr>
          <w:rFonts w:ascii="Arial" w:hAnsi="Arial" w:cs="Arial"/>
          <w:color w:val="000000"/>
          <w:sz w:val="20"/>
          <w:szCs w:val="20"/>
          <w:lang w:val="en-GB"/>
        </w:rPr>
        <w:t>, Norwegian Knee Ligament Register</w:t>
      </w:r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; </w:t>
      </w:r>
      <w:proofErr w:type="spellStart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>PPV</w:t>
      </w:r>
      <w:proofErr w:type="spellEnd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positive predictive value; CI, confidence interval; ACL, anterior cruciate ligament; OP, operation; PCL, posterior cruciate ligament; MCL, medial collateral ligament; </w:t>
      </w:r>
      <w:proofErr w:type="spellStart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>LCL</w:t>
      </w:r>
      <w:proofErr w:type="spellEnd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lateral collateral ligament; PLC, posterolateral corner; </w:t>
      </w:r>
      <w:proofErr w:type="spellStart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>BPTB</w:t>
      </w:r>
      <w:proofErr w:type="spellEnd"/>
      <w:r w:rsidRPr="00DF4B1D">
        <w:rPr>
          <w:rFonts w:ascii="Arial" w:hAnsi="Arial" w:cs="Arial"/>
          <w:color w:val="000000" w:themeColor="text1"/>
          <w:sz w:val="20"/>
          <w:szCs w:val="20"/>
          <w:lang w:val="en-GB"/>
        </w:rPr>
        <w:t>, bone-patellar tendon-bone graft.</w:t>
      </w:r>
    </w:p>
    <w:p w:rsidR="001A7AF9" w:rsidRPr="00DF4B1D" w:rsidRDefault="001A7AF9">
      <w:pPr>
        <w:rPr>
          <w:lang w:val="en-GB"/>
        </w:rPr>
      </w:pPr>
    </w:p>
    <w:sectPr w:rsidR="001A7AF9" w:rsidRPr="00DF4B1D" w:rsidSect="005A2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D8"/>
    <w:rsid w:val="001637EF"/>
    <w:rsid w:val="001A7AF9"/>
    <w:rsid w:val="00225C7B"/>
    <w:rsid w:val="004A19D8"/>
    <w:rsid w:val="0051021C"/>
    <w:rsid w:val="005A2BBE"/>
    <w:rsid w:val="00726209"/>
    <w:rsid w:val="00754F68"/>
    <w:rsid w:val="008826C7"/>
    <w:rsid w:val="008F3787"/>
    <w:rsid w:val="00B51EBF"/>
    <w:rsid w:val="00DF4B1D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0AB6"/>
  <w15:chartTrackingRefBased/>
  <w15:docId w15:val="{27E1FB48-749D-B14B-AE06-22C5B0F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9D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19D8"/>
    <w:rPr>
      <w:sz w:val="22"/>
      <w:szCs w:val="22"/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19D8"/>
    <w:pPr>
      <w:spacing w:before="100" w:beforeAutospacing="1" w:after="100" w:afterAutospacing="1"/>
    </w:pPr>
    <w:rPr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37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78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Midttun</dc:creator>
  <cp:keywords/>
  <dc:description/>
  <cp:lastModifiedBy>Espen Midttun</cp:lastModifiedBy>
  <cp:revision>2</cp:revision>
  <dcterms:created xsi:type="dcterms:W3CDTF">2022-02-23T17:11:00Z</dcterms:created>
  <dcterms:modified xsi:type="dcterms:W3CDTF">2022-02-23T17:11:00Z</dcterms:modified>
</cp:coreProperties>
</file>