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8A7" w:rsidRDefault="007D5E7B">
      <w:r>
        <w:rPr>
          <w:rFonts w:ascii="Times New Roman" w:hAnsi="Times New Roman" w:cs="Times New Roman"/>
          <w:noProof/>
          <w:sz w:val="20"/>
          <w:szCs w:val="20"/>
          <w:lang w:eastAsia="en-IN"/>
        </w:rPr>
        <w:drawing>
          <wp:inline distT="0" distB="0" distL="0" distR="0" wp14:anchorId="612BB8A8" wp14:editId="6557DDAB">
            <wp:extent cx="5731510" cy="63677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WAS meta-analysis of ag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6367780"/>
                    </a:xfrm>
                    <a:prstGeom prst="rect">
                      <a:avLst/>
                    </a:prstGeom>
                  </pic:spPr>
                </pic:pic>
              </a:graphicData>
            </a:graphic>
          </wp:inline>
        </w:drawing>
      </w:r>
    </w:p>
    <w:p w:rsidR="007D5E7B" w:rsidRDefault="007D5E7B">
      <w:r>
        <w:rPr>
          <w:b/>
          <w:u w:val="single"/>
        </w:rPr>
        <w:t>Supplementary F</w:t>
      </w:r>
      <w:r w:rsidRPr="006C3B02">
        <w:rPr>
          <w:b/>
          <w:u w:val="single"/>
        </w:rPr>
        <w:t xml:space="preserve">igure </w:t>
      </w:r>
      <w:r>
        <w:rPr>
          <w:b/>
          <w:u w:val="single"/>
        </w:rPr>
        <w:t>1</w:t>
      </w:r>
      <w:r>
        <w:t xml:space="preserve">. </w:t>
      </w:r>
      <w:r>
        <w:rPr>
          <w:b/>
        </w:rPr>
        <w:t>EWAS meta-analysis of age reveals small, widespread DNA methylation changes at genes encoding structural components of muscle</w:t>
      </w:r>
      <w:r>
        <w:t xml:space="preserve">. A) Volcano plot of the </w:t>
      </w:r>
      <w:r w:rsidRPr="003A14E5">
        <w:rPr>
          <w:color w:val="FF0000"/>
        </w:rPr>
        <w:t xml:space="preserve">effect size </w:t>
      </w:r>
      <w:r>
        <w:t xml:space="preserve">(% </w:t>
      </w:r>
      <w:proofErr w:type="spellStart"/>
      <w:r>
        <w:t>DNAm</w:t>
      </w:r>
      <w:proofErr w:type="spellEnd"/>
      <w:r>
        <w:t xml:space="preserve"> change per year of age) and significance of age for each </w:t>
      </w:r>
      <w:proofErr w:type="spellStart"/>
      <w:r>
        <w:t>CpG</w:t>
      </w:r>
      <w:proofErr w:type="spellEnd"/>
      <w:r>
        <w:t xml:space="preserve"> included in the meta-analysis (pooled results of 16 independent muscle datasets); </w:t>
      </w:r>
      <w:proofErr w:type="spellStart"/>
      <w:r>
        <w:t>colored</w:t>
      </w:r>
      <w:proofErr w:type="spellEnd"/>
      <w:r>
        <w:t xml:space="preserve"> dots are </w:t>
      </w:r>
      <w:proofErr w:type="spellStart"/>
      <w:r>
        <w:t>CpGs</w:t>
      </w:r>
      <w:proofErr w:type="spellEnd"/>
      <w:r>
        <w:t xml:space="preserve"> that are differentially methylated at a false discovery rate (FDR) &lt; 0.005; we highlighted the top hypo- (left) and hyper- (right) methylated </w:t>
      </w:r>
      <w:proofErr w:type="spellStart"/>
      <w:r>
        <w:t>CpG</w:t>
      </w:r>
      <w:proofErr w:type="spellEnd"/>
      <w:r>
        <w:t xml:space="preserve"> in forest plots to show the estimates and confidence intervals in each dataset. B) Overrepresentation analysis of the age-related differentially methylated positions for Gene Ontology, and Human Phenotype Ontology (HPO) from </w:t>
      </w:r>
      <w:proofErr w:type="spellStart"/>
      <w:r>
        <w:t>MSigDB</w:t>
      </w:r>
      <w:proofErr w:type="spellEnd"/>
      <w:r>
        <w:t xml:space="preserve">; pathways in red are significant at an FDR &lt; 0.005. The circular plot displays genes from the two significant HPOs (“difficulty climbing stairs”, and “muscle weakness”) that showed age-related alterations at the </w:t>
      </w:r>
      <w:proofErr w:type="spellStart"/>
      <w:r>
        <w:t>DNAm</w:t>
      </w:r>
      <w:proofErr w:type="spellEnd"/>
      <w:r>
        <w:t xml:space="preserve"> level. C) </w:t>
      </w:r>
      <w:proofErr w:type="spellStart"/>
      <w:r>
        <w:t>Dotplot</w:t>
      </w:r>
      <w:proofErr w:type="spellEnd"/>
      <w:r>
        <w:t xml:space="preserve"> of the enrichment of DMPs in marker genes</w:t>
      </w:r>
      <w:r w:rsidRPr="00E04714">
        <w:t xml:space="preserve"> for</w:t>
      </w:r>
      <w:r>
        <w:t xml:space="preserve"> 12</w:t>
      </w:r>
      <w:r w:rsidRPr="00E04714">
        <w:t xml:space="preserve"> cell types identified in a single-cell sequencing </w:t>
      </w:r>
      <w:r>
        <w:t>study of human skeletal muscle</w:t>
      </w:r>
      <w:r>
        <w:fldChar w:fldCharType="begin" w:fldLock="1"/>
      </w:r>
      <w:r>
        <w:instrText>ADDIN CSL_CITATION {"citationItems":[{"id":"ITEM-1","itemData":{"DOI":"10.1038/s41598-019-57110-6","ISSN":"2045-2322 (Electronic)","PMID":"31937892","abstract":"Skeletal muscle is a heterogeneous tissue comprised of muscle fiber and mononuclear  cell types that, in addition to movement, influences immunity, metabolism and cognition. We investigated the gene expression patterns of skeletal muscle cells using RNA-seq of subtype-pooled single human muscle fibers and single cell RNA-seq of mononuclear cells from human vastus lateralis, mouse quadriceps, and mouse diaphragm. We identified 11 human skeletal muscle mononuclear cell types, including two fibro-adipogenic progenitor (FAP) cell subtypes. The human FBN1+ FAP cell subtype is novel and a corresponding FBN1+ FAP cell type was also found in single cell RNA-seq analysis in mouse. Transcriptome exercise studies using bulk tissue analysis do not resolve changes in individual cell-type proportion or gene expression. The cell-type gene signatures provide the means to use computational methods to identify cell-type level changes in bulk studies. As an example, we analyzed public transcriptome data from an exercise training study and revealed significant changes in specific mononuclear cell-type proportions related to age, sex, acute exercise and training. Our single-cell expression map of skeletal muscle cell types will further the understanding of the diverse effects of exercise and the pathophysiology of muscle disease.","author":[{"dropping-particle":"","family":"Rubenstein","given":"Aliza B","non-dropping-particle":"","parse-names":false,"suffix":""},{"dropping-particle":"","family":"Smith","given":"Gregory R","non-dropping-particle":"","parse-names":false,"suffix":""},{"dropping-particle":"","family":"Raue","given":"Ulrika","non-dropping-particle":"","parse-names":false,"suffix":""},{"dropping-particle":"","family":"Begue","given":"Gwénaëlle","non-dropping-particle":"","parse-names":false,"suffix":""},{"dropping-particle":"","family":"Minchev","given":"Kiril","non-dropping-particle":"","parse-names":false,"suffix":""},{"dropping-particle":"","family":"Ruf-Zamojski","given":"Frederique","non-dropping-particle":"","parse-names":false,"suffix":""},{"dropping-particle":"","family":"Nair","given":"Venugopalan D","non-dropping-particle":"","parse-names":false,"suffix":""},{"dropping-particle":"","family":"Wang","given":"Xingyu","non-dropping-particle":"","parse-names":false,"suffix":""},{"dropping-particle":"","family":"Zhou","given":"Lan","non-dropping-particle":"","parse-names":false,"suffix":""},{"dropping-particle":"","family":"Zaslavsky","given":"Elena","non-dropping-particle":"","parse-names":false,"suffix":""},{"dropping-particle":"","family":"Trappe","given":"Todd A","non-dropping-particle":"","parse-names":false,"suffix":""},{"dropping-particle":"","family":"Trappe","given":"Scott","non-dropping-particle":"","parse-names":false,"suffix":""},{"dropping-particle":"","family":"Sealfon","given":"Stuart C","non-dropping-particle":"","parse-names":false,"suffix":""}],"container-title":"Scientific reports","id":"ITEM-1","issue":"1","issued":{"date-parts":[["2020","1"]]},"language":"eng","page":"229","title":"Single-cell transcriptional profiles in human skeletal muscle.","type":"article-journal","volume":"10"},"uris":["http://www.mendeley.com/documents/?uuid=c3d3cc1b-809e-4bb3-adfe-c19dae44308b"]}],"mendeley":{"formattedCitation":"&lt;sup&gt;38&lt;/sup&gt;","plainTextFormattedCitation":"38","previouslyFormattedCitation":"&lt;sup&gt;38&lt;/sup&gt;"},"properties":{"noteIndex":0},"schema":"https://github.com/citation-style-language/schema/raw/master/csl-citation.json"}</w:instrText>
      </w:r>
      <w:r>
        <w:rPr>
          <w:vertAlign w:val="superscript"/>
        </w:rPr>
        <w:fldChar w:fldCharType="separate"/>
      </w:r>
      <w:r w:rsidRPr="00701398">
        <w:rPr>
          <w:noProof/>
          <w:vertAlign w:val="superscript"/>
        </w:rPr>
        <w:t>38</w:t>
      </w:r>
      <w:r>
        <w:fldChar w:fldCharType="end"/>
      </w:r>
      <w:r>
        <w:t>.</w:t>
      </w:r>
    </w:p>
    <w:p w:rsidR="007D5E7B" w:rsidRDefault="007D5E7B"/>
    <w:p w:rsidR="007D5E7B" w:rsidRDefault="007D5E7B">
      <w:r>
        <w:rPr>
          <w:noProof/>
          <w:lang w:eastAsia="en-IN"/>
        </w:rPr>
        <w:drawing>
          <wp:inline distT="0" distB="0" distL="0" distR="0">
            <wp:extent cx="5724525" cy="6362700"/>
            <wp:effectExtent l="0" t="0" r="9525" b="0"/>
            <wp:docPr id="1" name="Picture 1" descr="TWAS meta-analysi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AS meta-analysis of 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6362700"/>
                    </a:xfrm>
                    <a:prstGeom prst="rect">
                      <a:avLst/>
                    </a:prstGeom>
                    <a:noFill/>
                    <a:ln>
                      <a:noFill/>
                    </a:ln>
                  </pic:spPr>
                </pic:pic>
              </a:graphicData>
            </a:graphic>
          </wp:inline>
        </w:drawing>
      </w:r>
    </w:p>
    <w:p w:rsidR="007D5E7B" w:rsidRDefault="007D5E7B"/>
    <w:p w:rsidR="007D5E7B" w:rsidRDefault="007D5E7B">
      <w:r>
        <w:rPr>
          <w:b/>
          <w:u w:val="single"/>
        </w:rPr>
        <w:t>Supplementary F</w:t>
      </w:r>
      <w:r w:rsidRPr="006C3B02">
        <w:rPr>
          <w:b/>
          <w:u w:val="single"/>
        </w:rPr>
        <w:t xml:space="preserve">igure </w:t>
      </w:r>
      <w:r>
        <w:rPr>
          <w:b/>
          <w:u w:val="single"/>
        </w:rPr>
        <w:t>2</w:t>
      </w:r>
      <w:r>
        <w:t xml:space="preserve">. </w:t>
      </w:r>
      <w:r>
        <w:rPr>
          <w:b/>
        </w:rPr>
        <w:t>TWAS meta-analysis of age reveals mRNA expression changes at genes involved in mitochondrial function and energy production</w:t>
      </w:r>
      <w:r>
        <w:t xml:space="preserve">. A) Volcano plot of the magnitude (log2 fold-change (log2FC) per year of age) and significance of age effects for each gene included in the meta-analysis (pooled results of 21 independent muscle transcriptomic datasets); coloured dots are genes that are differentially expressed at a false discovery rate (FDR) &lt; 0.005; we highlighted the top down- (left) and up- (right) regulated genes in forest plots to show the estimates and confidence intervals in each dataset. B) Overrepresentation analysis of the age-related differentially expressed genes (DEGs) for Gene Ontology (GO), and Human Phenotype Ontology (HPO) from </w:t>
      </w:r>
      <w:proofErr w:type="spellStart"/>
      <w:r>
        <w:t>MSigDB</w:t>
      </w:r>
      <w:proofErr w:type="spellEnd"/>
      <w:r>
        <w:t xml:space="preserve">; pathways in red are significant at an FDR &lt; 0.005. The circular plot displays DEGs from the two </w:t>
      </w:r>
      <w:r>
        <w:lastRenderedPageBreak/>
        <w:t>significant HPOs (“exercise intolerance”, and “</w:t>
      </w:r>
      <w:proofErr w:type="spellStart"/>
      <w:r>
        <w:t>myoglobinuria</w:t>
      </w:r>
      <w:proofErr w:type="spellEnd"/>
      <w:r>
        <w:t xml:space="preserve">”). C) </w:t>
      </w:r>
      <w:proofErr w:type="spellStart"/>
      <w:r>
        <w:t>Dotplot</w:t>
      </w:r>
      <w:proofErr w:type="spellEnd"/>
      <w:r>
        <w:t xml:space="preserve"> of the enrichment of DEGs in marker genes</w:t>
      </w:r>
      <w:r w:rsidRPr="00E04714">
        <w:t xml:space="preserve"> for</w:t>
      </w:r>
      <w:r>
        <w:t xml:space="preserve"> 11</w:t>
      </w:r>
      <w:r w:rsidRPr="00E04714">
        <w:t xml:space="preserve"> cell types identified in a single-cell sequencing </w:t>
      </w:r>
      <w:r>
        <w:t>study of human skeletal muscle</w:t>
      </w:r>
      <w:r>
        <w:fldChar w:fldCharType="begin" w:fldLock="1"/>
      </w:r>
      <w:r>
        <w:instrText>ADDIN CSL_CITATION {"citationItems":[{"id":"ITEM-1","itemData":{"DOI":"10.1038/s41598-019-57110-6","ISSN":"2045-2322 (Electronic)","PMID":"31937892","abstract":"Skeletal muscle is a heterogeneous tissue comprised of muscle fiber and mononuclear  cell types that, in addition to movement, influences immunity, metabolism and cognition. We investigated the gene expression patterns of skeletal muscle cells using RNA-seq of subtype-pooled single human muscle fibers and single cell RNA-seq of mononuclear cells from human vastus lateralis, mouse quadriceps, and mouse diaphragm. We identified 11 human skeletal muscle mononuclear cell types, including two fibro-adipogenic progenitor (FAP) cell subtypes. The human FBN1+ FAP cell subtype is novel and a corresponding FBN1+ FAP cell type was also found in single cell RNA-seq analysis in mouse. Transcriptome exercise studies using bulk tissue analysis do not resolve changes in individual cell-type proportion or gene expression. The cell-type gene signatures provide the means to use computational methods to identify cell-type level changes in bulk studies. As an example, we analyzed public transcriptome data from an exercise training study and revealed significant changes in specific mononuclear cell-type proportions related to age, sex, acute exercise and training. Our single-cell expression map of skeletal muscle cell types will further the understanding of the diverse effects of exercise and the pathophysiology of muscle disease.","author":[{"dropping-particle":"","family":"Rubenstein","given":"Aliza B","non-dropping-particle":"","parse-names":false,"suffix":""},{"dropping-particle":"","family":"Smith","given":"Gregory R","non-dropping-particle":"","parse-names":false,"suffix":""},{"dropping-particle":"","family":"Raue","given":"Ulrika","non-dropping-particle":"","parse-names":false,"suffix":""},{"dropping-particle":"","family":"Begue","given":"Gwénaëlle","non-dropping-particle":"","parse-names":false,"suffix":""},{"dropping-particle":"","family":"Minchev","given":"Kiril","non-dropping-particle":"","parse-names":false,"suffix":""},{"dropping-particle":"","family":"Ruf-Zamojski","given":"Frederique","non-dropping-particle":"","parse-names":false,"suffix":""},{"dropping-particle":"","family":"Nair","given":"Venugopalan D","non-dropping-particle":"","parse-names":false,"suffix":""},{"dropping-particle":"","family":"Wang","given":"Xingyu","non-dropping-particle":"","parse-names":false,"suffix":""},{"dropping-particle":"","family":"Zhou","given":"Lan","non-dropping-particle":"","parse-names":false,"suffix":""},{"dropping-particle":"","family":"Zaslavsky","given":"Elena","non-dropping-particle":"","parse-names":false,"suffix":""},{"dropping-particle":"","family":"Trappe","given":"Todd A","non-dropping-particle":"","parse-names":false,"suffix":""},{"dropping-particle":"","family":"Trappe","given":"Scott","non-dropping-particle":"","parse-names":false,"suffix":""},{"dropping-particle":"","family":"Sealfon","given":"Stuart C","non-dropping-particle":"","parse-names":false,"suffix":""}],"container-title":"Scientific reports","id":"ITEM-1","issue":"1","issued":{"date-parts":[["2020","1"]]},"language":"eng","page":"229","title":"Single-cell transcriptional profiles in human skeletal muscle.","type":"article-journal","volume":"10"},"uris":["http://www.mendeley.com/documents/?uuid=c3d3cc1b-809e-4bb3-adfe-c19dae44308b"]}],"mendeley":{"formattedCitation":"&lt;sup&gt;38&lt;/sup&gt;","plainTextFormattedCitation":"38","previouslyFormattedCitation":"&lt;sup&gt;38&lt;/sup&gt;"},"properties":{"noteIndex":0},"schema":"https://github.com/citation-style-language/schema/raw/master/csl-citation.json"}</w:instrText>
      </w:r>
      <w:r>
        <w:rPr>
          <w:vertAlign w:val="superscript"/>
        </w:rPr>
        <w:fldChar w:fldCharType="separate"/>
      </w:r>
      <w:r w:rsidRPr="00701398">
        <w:rPr>
          <w:noProof/>
          <w:vertAlign w:val="superscript"/>
        </w:rPr>
        <w:t>38</w:t>
      </w:r>
      <w:r>
        <w:fldChar w:fldCharType="end"/>
      </w:r>
      <w:r>
        <w:t xml:space="preserve">. The </w:t>
      </w:r>
      <w:proofErr w:type="spellStart"/>
      <w:r>
        <w:t>heatmap</w:t>
      </w:r>
      <w:proofErr w:type="spellEnd"/>
      <w:r>
        <w:t xml:space="preserve"> displays the log2FC of the DEGs that are marker genes for smooth muscle cells.</w:t>
      </w:r>
    </w:p>
    <w:p w:rsidR="007D5E7B" w:rsidRDefault="007D5E7B"/>
    <w:p w:rsidR="007D5E7B" w:rsidRDefault="007D5E7B">
      <w:r>
        <w:rPr>
          <w:rFonts w:ascii="Times New Roman" w:hAnsi="Times New Roman" w:cs="Times New Roman"/>
          <w:noProof/>
          <w:sz w:val="20"/>
          <w:szCs w:val="20"/>
          <w:lang w:eastAsia="en-IN"/>
        </w:rPr>
        <w:drawing>
          <wp:inline distT="0" distB="0" distL="0" distR="0" wp14:anchorId="1F4EEC6A" wp14:editId="31D06491">
            <wp:extent cx="5638800" cy="3175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38800" cy="3175000"/>
                    </a:xfrm>
                    <a:prstGeom prst="rect">
                      <a:avLst/>
                    </a:prstGeom>
                  </pic:spPr>
                </pic:pic>
              </a:graphicData>
            </a:graphic>
          </wp:inline>
        </w:drawing>
      </w:r>
    </w:p>
    <w:p w:rsidR="007D5E7B" w:rsidRDefault="007D5E7B"/>
    <w:p w:rsidR="007D5E7B" w:rsidRDefault="007D5E7B">
      <w:r>
        <w:rPr>
          <w:b/>
          <w:u w:val="single"/>
        </w:rPr>
        <w:t>Supplementary F</w:t>
      </w:r>
      <w:r w:rsidRPr="006C3B02">
        <w:rPr>
          <w:b/>
          <w:u w:val="single"/>
        </w:rPr>
        <w:t xml:space="preserve">igure </w:t>
      </w:r>
      <w:r>
        <w:rPr>
          <w:b/>
          <w:u w:val="single"/>
        </w:rPr>
        <w:t>3</w:t>
      </w:r>
      <w:r>
        <w:t>.</w:t>
      </w:r>
      <w:r>
        <w:rPr>
          <w:b/>
        </w:rPr>
        <w:t xml:space="preserve"> Overlap between age-related differentially methylated genes (DMGs) and differentially expressed genes (DEGs)</w:t>
      </w:r>
      <w:r>
        <w:t xml:space="preserve">. A) The 3,168 DMPs were located in 2,622 unique genes, 63 of which were also DEGs. On the bottom graph, each dot represents a DMP-DEG pair, with the change in </w:t>
      </w:r>
      <w:proofErr w:type="spellStart"/>
      <w:r>
        <w:t>DNAm</w:t>
      </w:r>
      <w:proofErr w:type="spellEnd"/>
      <w:r>
        <w:t xml:space="preserve"> level (x-axis) and mRNA level (y-axis) per year of age. Note that some genes appear multiple times on the plot as multiple DMPs could be annotated to the same gene (e.g. FEZ2, USP54). B) </w:t>
      </w:r>
      <w:r w:rsidRPr="001E0A88">
        <w:rPr>
          <w:color w:val="FF0000"/>
        </w:rPr>
        <w:t>Left</w:t>
      </w:r>
      <w:r>
        <w:t xml:space="preserve">, proportion of genes within DEGs and non-DEGs that are also differentially methylated with age; </w:t>
      </w:r>
      <w:r w:rsidRPr="001E0A88">
        <w:rPr>
          <w:color w:val="FF0000"/>
        </w:rPr>
        <w:t>right</w:t>
      </w:r>
      <w:r>
        <w:t>, proportion of genes within DMGs and non-DMGs that are also differentially expressed with age. *p &lt; 0.005 in over-representation test (Fisher’s exact test).</w:t>
      </w:r>
    </w:p>
    <w:p w:rsidR="007D5E7B" w:rsidRDefault="007D5E7B"/>
    <w:p w:rsidR="007D5E7B" w:rsidRDefault="007D5E7B">
      <w:r>
        <w:rPr>
          <w:rFonts w:ascii="Times New Roman" w:hAnsi="Times New Roman" w:cs="Times New Roman"/>
          <w:noProof/>
          <w:sz w:val="20"/>
          <w:szCs w:val="20"/>
          <w:lang w:eastAsia="en-IN"/>
        </w:rPr>
        <w:lastRenderedPageBreak/>
        <w:drawing>
          <wp:inline distT="0" distB="0" distL="0" distR="0" wp14:anchorId="682982AB" wp14:editId="1B86CAF7">
            <wp:extent cx="5731510" cy="37096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plot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09670"/>
                    </a:xfrm>
                    <a:prstGeom prst="rect">
                      <a:avLst/>
                    </a:prstGeom>
                  </pic:spPr>
                </pic:pic>
              </a:graphicData>
            </a:graphic>
          </wp:inline>
        </w:drawing>
      </w:r>
    </w:p>
    <w:p w:rsidR="007D5E7B" w:rsidRDefault="007D5E7B"/>
    <w:p w:rsidR="007D5E7B" w:rsidRDefault="007D5E7B">
      <w:r>
        <w:rPr>
          <w:b/>
          <w:u w:val="single"/>
        </w:rPr>
        <w:t>Supplementary F</w:t>
      </w:r>
      <w:r w:rsidRPr="006C3B02">
        <w:rPr>
          <w:b/>
          <w:u w:val="single"/>
        </w:rPr>
        <w:t xml:space="preserve">igure </w:t>
      </w:r>
      <w:r>
        <w:rPr>
          <w:b/>
          <w:u w:val="single"/>
        </w:rPr>
        <w:t>4</w:t>
      </w:r>
      <w:r>
        <w:t xml:space="preserve">. </w:t>
      </w:r>
      <w:r>
        <w:rPr>
          <w:b/>
        </w:rPr>
        <w:t>Quantile-quantile plot of p-values for the effect of VO</w:t>
      </w:r>
      <w:r w:rsidRPr="00FB5F8B">
        <w:rPr>
          <w:b/>
          <w:vertAlign w:val="subscript"/>
        </w:rPr>
        <w:t>2max</w:t>
      </w:r>
      <w:r>
        <w:rPr>
          <w:b/>
        </w:rPr>
        <w:t xml:space="preserve">, </w:t>
      </w:r>
      <w:r w:rsidRPr="007532DE">
        <w:rPr>
          <w:b/>
          <w:color w:val="FF0000"/>
        </w:rPr>
        <w:t xml:space="preserve">exercise </w:t>
      </w:r>
      <w:r>
        <w:rPr>
          <w:b/>
        </w:rPr>
        <w:t xml:space="preserve">training and muscle disuse on the aging </w:t>
      </w:r>
      <w:proofErr w:type="spellStart"/>
      <w:r>
        <w:rPr>
          <w:b/>
        </w:rPr>
        <w:t>methylome</w:t>
      </w:r>
      <w:proofErr w:type="spellEnd"/>
      <w:r>
        <w:rPr>
          <w:b/>
        </w:rPr>
        <w:t xml:space="preserve"> and transcriptome</w:t>
      </w:r>
      <w:r>
        <w:t>. The</w:t>
      </w:r>
      <w:r w:rsidRPr="002746DE">
        <w:t xml:space="preserve"> observed </w:t>
      </w:r>
      <w:r>
        <w:t>p-</w:t>
      </w:r>
      <w:r w:rsidRPr="002746DE">
        <w:t>values for each</w:t>
      </w:r>
      <w:r>
        <w:t xml:space="preserve"> age-related</w:t>
      </w:r>
      <w:r w:rsidRPr="002746DE">
        <w:t xml:space="preserve"> </w:t>
      </w:r>
      <w:r>
        <w:t>DMP or DMG</w:t>
      </w:r>
      <w:r w:rsidRPr="002746DE">
        <w:t xml:space="preserve"> are sorted from largest to smallest and plotted against expected values from a theoretical χ2-distribution</w:t>
      </w:r>
      <w:r>
        <w:t>.</w:t>
      </w:r>
      <w:r w:rsidRPr="002746DE">
        <w:t xml:space="preserve"> If some observed </w:t>
      </w:r>
      <w:r>
        <w:t>p-</w:t>
      </w:r>
      <w:r w:rsidRPr="002746DE">
        <w:t>values are clearly more significant than expected under the null hypothesis, poin</w:t>
      </w:r>
      <w:r>
        <w:t>ts will move towards the y-axis; green points represent DMPs or DEGs for which the effect of age contrasts with the effect of VO</w:t>
      </w:r>
      <w:r w:rsidRPr="002746DE">
        <w:rPr>
          <w:vertAlign w:val="subscript"/>
        </w:rPr>
        <w:t>2max</w:t>
      </w:r>
      <w:r>
        <w:t xml:space="preserve"> or exercise or disuse, while black points represent DMPs or DEGs for which the effect of age is in line with the effect of VO</w:t>
      </w:r>
      <w:r w:rsidRPr="002746DE">
        <w:rPr>
          <w:vertAlign w:val="subscript"/>
        </w:rPr>
        <w:t>2max</w:t>
      </w:r>
      <w:r>
        <w:t xml:space="preserve"> or exercise or disuse.</w:t>
      </w:r>
    </w:p>
    <w:p w:rsidR="007D5E7B" w:rsidRDefault="007D5E7B"/>
    <w:p w:rsidR="007D5E7B" w:rsidRDefault="007D5E7B">
      <w:bookmarkStart w:id="0" w:name="_GoBack"/>
      <w:bookmarkEnd w:id="0"/>
    </w:p>
    <w:sectPr w:rsidR="007D5E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B94"/>
    <w:rsid w:val="003258A7"/>
    <w:rsid w:val="007D5E7B"/>
    <w:rsid w:val="00DB7B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C689FB-45FD-4D50-994D-4A257232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1651</Words>
  <Characters>9416</Characters>
  <Application>Microsoft Office Word</Application>
  <DocSecurity>0</DocSecurity>
  <Lines>78</Lines>
  <Paragraphs>22</Paragraphs>
  <ScaleCrop>false</ScaleCrop>
  <Company/>
  <LinksUpToDate>false</LinksUpToDate>
  <CharactersWithSpaces>11045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 Shamly J.</dc:creator>
  <cp:keywords/>
  <dc:description/>
  <cp:lastModifiedBy>Merlin Shamly J.</cp:lastModifiedBy>
  <cp:revision>2</cp:revision>
  <dcterms:created xsi:type="dcterms:W3CDTF">2023-04-21T02:13:00Z</dcterms:created>
  <dcterms:modified xsi:type="dcterms:W3CDTF">2023-04-21T02:18:00Z</dcterms:modified>
</cp:coreProperties>
</file>