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EAB2" w14:textId="4043CDF1" w:rsidR="00B73697" w:rsidRPr="005D6771" w:rsidRDefault="00B73697" w:rsidP="00B73697">
      <w:pPr>
        <w:keepNext/>
        <w:keepLines/>
        <w:spacing w:after="0" w:line="480" w:lineRule="auto"/>
        <w:outlineLvl w:val="0"/>
        <w:rPr>
          <w:rFonts w:ascii="Times New Roman" w:eastAsia="Times New Roman" w:hAnsi="Times New Roman" w:cs="Times New Roman"/>
          <w:b/>
          <w:sz w:val="24"/>
          <w:szCs w:val="24"/>
          <w:lang w:val="en-US"/>
        </w:rPr>
      </w:pPr>
      <w:r w:rsidRPr="005D6771">
        <w:rPr>
          <w:rFonts w:ascii="Times New Roman" w:eastAsia="Times New Roman" w:hAnsi="Times New Roman" w:cs="Times New Roman"/>
          <w:b/>
          <w:sz w:val="24"/>
          <w:szCs w:val="24"/>
          <w:lang w:val="en-US"/>
        </w:rPr>
        <w:t>SUPPLEMENTAL INFORMATION</w:t>
      </w:r>
    </w:p>
    <w:p w14:paraId="23152A3A" w14:textId="74FA73EE" w:rsidR="00B71FDD" w:rsidRPr="005D6771" w:rsidRDefault="00B71FDD" w:rsidP="00B71FDD">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Sample size calculation</w:t>
      </w:r>
    </w:p>
    <w:p w14:paraId="7E01B2FB" w14:textId="77777777" w:rsidR="00B71FDD" w:rsidRPr="005D6771" w:rsidRDefault="00B71FDD" w:rsidP="00B71FDD">
      <w:pPr>
        <w:spacing w:line="480" w:lineRule="auto"/>
        <w:rPr>
          <w:rFonts w:ascii="Times New Roman" w:hAnsi="Times New Roman" w:cs="Times New Roman"/>
          <w:sz w:val="24"/>
          <w:szCs w:val="24"/>
          <w:lang w:val="en-US"/>
        </w:rPr>
      </w:pPr>
      <w:r w:rsidRPr="005D6771">
        <w:rPr>
          <w:rFonts w:ascii="Times New Roman" w:hAnsi="Times New Roman" w:cs="Times New Roman"/>
          <w:sz w:val="24"/>
          <w:szCs w:val="24"/>
          <w:lang w:val="en-US"/>
        </w:rPr>
        <w:t xml:space="preserve">The original aim of the PANIC Study was to investigate the effects of combined dietary and physical activity intervention on metabolic syndrome and insulin resistance. Therefore, our sample size calculations were based the effects of a dietary intervention on fasting serum insulin and HOMA-IR among children in the Special Turku Coronary Risk Factor Intervention Project (STRIP). Because of a larger number of children in our study than in the STRIP study, we approximated a slightly smaller difference for the change in fasting serum insulin and HOMA-IR of 0.3 SD between the intervention group (60% of children) and the control group (40% of children) with a power of 80% and a two-tailed p-value for the difference between the groups of 0.05, allowing for a 20% loss to follow-up or missing data. However, these calculations did not allow for non-independence within schools, and therefore the power could be lower than 80%. According to our calculations, we resulted in a sample size of at least 275 children in the intervention group and at least 183 children in the control group at baseline. </w:t>
      </w:r>
    </w:p>
    <w:p w14:paraId="7A96F391" w14:textId="77777777" w:rsidR="00B71FDD" w:rsidRPr="00B71FDD" w:rsidRDefault="00B71FDD" w:rsidP="00496D96">
      <w:pPr>
        <w:keepNext/>
        <w:keepLines/>
        <w:spacing w:after="0" w:line="480" w:lineRule="auto"/>
        <w:outlineLvl w:val="1"/>
        <w:rPr>
          <w:rFonts w:ascii="Times New Roman" w:hAnsi="Times New Roman" w:cs="Times New Roman"/>
          <w:b/>
          <w:bCs/>
          <w:sz w:val="24"/>
          <w:szCs w:val="24"/>
          <w:lang w:val="en-US"/>
        </w:rPr>
      </w:pPr>
    </w:p>
    <w:p w14:paraId="1151D134" w14:textId="66FFB385" w:rsidR="00976260" w:rsidRPr="00496D96" w:rsidRDefault="00976260" w:rsidP="00496D96">
      <w:pPr>
        <w:keepNext/>
        <w:keepLines/>
        <w:spacing w:after="0" w:line="480" w:lineRule="auto"/>
        <w:outlineLvl w:val="1"/>
        <w:rPr>
          <w:rFonts w:ascii="Times New Roman" w:eastAsia="Times New Roman" w:hAnsi="Times New Roman" w:cs="Times New Roman"/>
          <w:b/>
          <w:sz w:val="24"/>
          <w:szCs w:val="24"/>
          <w:lang w:val="en-US"/>
        </w:rPr>
      </w:pPr>
      <w:r w:rsidRPr="005D6771">
        <w:rPr>
          <w:rFonts w:ascii="Times New Roman" w:hAnsi="Times New Roman" w:cs="Times New Roman"/>
          <w:b/>
          <w:bCs/>
          <w:sz w:val="24"/>
          <w:szCs w:val="24"/>
          <w:lang w:val="en-GB"/>
        </w:rPr>
        <w:t>Allocation of children to the intervention and the control groups</w:t>
      </w:r>
    </w:p>
    <w:p w14:paraId="0AD37F3A" w14:textId="576C6069" w:rsidR="00976260" w:rsidRPr="005D6771" w:rsidRDefault="00976260" w:rsidP="00976260">
      <w:pPr>
        <w:spacing w:line="480" w:lineRule="auto"/>
        <w:rPr>
          <w:rFonts w:ascii="Times New Roman" w:hAnsi="Times New Roman" w:cs="Times New Roman"/>
          <w:sz w:val="24"/>
          <w:szCs w:val="24"/>
          <w:lang w:val="en-GB"/>
        </w:rPr>
      </w:pPr>
      <w:r w:rsidRPr="005D6771">
        <w:rPr>
          <w:rFonts w:ascii="Times New Roman" w:hAnsi="Times New Roman" w:cs="Times New Roman"/>
          <w:sz w:val="24"/>
          <w:szCs w:val="24"/>
          <w:lang w:val="en-GB"/>
        </w:rPr>
        <w:t>We allocated the children from nine schools to a combined physical activity and dietary intervention group (306 children, 60%) and the children from seven schools to a control group (198 children, 40%) to avoid contamination in the control group by any local or national health promotion programmes that could have been initiated in the study region during the follow-up period</w:t>
      </w:r>
      <w:r w:rsidRPr="005D6771">
        <w:rPr>
          <w:rFonts w:ascii="Times New Roman" w:eastAsia="Calibri" w:hAnsi="Times New Roman" w:cs="Times New Roman"/>
          <w:color w:val="000000"/>
          <w:sz w:val="24"/>
          <w:szCs w:val="24"/>
          <w:lang w:val="en-US"/>
        </w:rPr>
        <w:fldChar w:fldCharType="begin"/>
      </w:r>
      <w:r w:rsidR="007457BE">
        <w:rPr>
          <w:rFonts w:ascii="Times New Roman" w:eastAsia="Calibri" w:hAnsi="Times New Roman" w:cs="Times New Roman"/>
          <w:color w:val="000000"/>
          <w:sz w:val="24"/>
          <w:szCs w:val="24"/>
          <w:lang w:val="en-US"/>
        </w:rPr>
        <w:instrText xml:space="preserve"> ADDIN ZOTERO_ITEM CSL_CITATION {"citationID":"03Wybjgs","properties":{"formattedCitation":"\\super 1\\nosupersub{}","plainCitation":"1","noteIndex":0},"citationItems":[{"id":"s1SPejOu/hVpgrxw6","uris":["http://www.mendeley.com/documents/?uuid=e44d62e9-6897-34f5-9f8a-b03458dd76d7"],"itemData":{"DOI":"10.1007/s00125-020-05250-0","ISSN":"14320428","PMID":"32816094","abstract":"Aims/hypothesis: We studied for the first time the long-term effects of a combined physical activity and dietary intervention on insulin resistance and fasting plasma glucose in a general population of predominantly normal-weight children. Methods: We carried out a 2 year non-randomised controlled trial in a population sample of 504 children aged 6–9 years at baseline. The children were allocated to a combined physical activity and dietary intervention group (306 children at baseline, 261 children at 2-year follow-up) or a control group (198 children, 177 children) without blinding. We measured fasting insulin and fasting glucose, calculated HOMA-IR, assessed physical activity and sedentary time by combined heart rate and body movement monitoring, assessed dietary factors by a 4 day food record, used the Finnish Children Healthy Eating Index (FCHEI) as a measure of overall diet quality, and measured body fat percentage (BF%) and lean body mass by dual-energy x-ray absorptiometry. The intervention effects on insulin, glucose and HOMA-IR were analysed using the intention-to-treat principle and linear mixed-effects models after adjustment for sex, age at baseline, and pubertal status at baseline and 2 year follow-up. The measures of physical activity, sedentary time, diet and body composition at baseline and 2 year follow-up were entered one-by-one as covariates into the models to study whether changes in these variables might partly explain the observed intervention effects. Results: Compared with the control group, fasting insulin increased 4.65 pmol/l less (absolute change +8.96 vs +13.61 pmol/l) and HOMA-IR increased 0.18 units less (+0.31 vs +0.49 units) over 2 years in the combined physical activity and dietary intervention group. The intervention effects on fasting insulin (regression coefficient β for intervention effect −0.33 [95% CI −0.62, −0.04], p = 0.026) and HOMA-IR (β for intervention effect −0.084 [95% CI −0.156, −0.012], p = 0.023) were statistically significant after adjustment for sex, age at baseline, and pubertal status at baseline and 2 year follow-up. The intervention had no effect on fasting glucose, BF% or lean body mass. Changes in total physical activity energy expenditure, light physical activity, moderate-to-vigorous physical activity, total sedentary time, the reported consumption of high-fat (≥60%) vegetable oil-based spreads, and FCHEI, but not a change in BF% or lean body mass, partly explained the intervention effects on f…","author":[{"dropping-particle":"","family":"Lakka","given":"Timo A.","non-dropping-particle":"","parse-names":false,"suffix":""},{"dropping-particle":"","family":"Lintu","given":"Niina","non-dropping-particle":"","parse-names":false,"suffix":""},{"dropping-particle":"","family":"Väistö","given":"Juuso","non-dropping-particle":"","parse-names":false,"suffix":""},{"dropping-particle":"","family":"Viitasalo","given":"Anna","non-dropping-particle":"","parse-names":false,"suffix":""},{"dropping-particle":"","family":"Sallinen","given":"Taisa","non-dropping-particle":"","parse-names":false,"suffix":""},{"dropping-particle":"","family":"Haapala","given":"Eero A.","non-dropping-particle":"","parse-names":false,"suffix":""},{"dropping-particle":"","family":"Tompuri","given":"Tuomo T.","non-dropping-particle":"","parse-names":false,"suffix":""},{"dropping-particle":"","family":"Soininen","given":"Sonja","non-dropping-particle":"","parse-names":false,"suffix":""},{"dropping-particle":"","family":"Karjalainen","given":"Panu","non-dropping-particle":"","parse-names":false,"suffix":""},{"dropping-particle":"","family":"Schnurr","given":"Theresia M.","non-dropping-particle":"","parse-names":false,"suffix":""},{"dropping-particle":"","family":"Mikkonen","given":"Santtu","non-dropping-particle":"","parse-names":false,"suffix":""},{"dropping-particle":"","family":"Atalay","given":"Mustafa","non-dropping-particle":"","parse-names":false,"suffix":""},{"dropping-particle":"","family":"Kilpeläinen","given":"Tuomas O.","non-dropping-particle":"","parse-names":false,"suffix":""},{"dropping-particle":"","family":"Laitinen","given":"Tomi","non-dropping-particle":"","parse-names":false,"suffix":""},{"dropping-particle":"","family":"Laaksonen","given":"David E.","non-dropping-particle":"","parse-names":false,"suffix":""},{"dropping-particle":"","family":"Savonen","given":"Kai","non-dropping-particle":"","parse-names":false,"suffix":""},{"dropping-particle":"","family":"Brage","given":"Soren","non-dropping-particle":"","parse-names":false,"suffix":""},{"dropping-particle":"","family":"Schwab","given":"Ursula","non-dropping-particle":"","parse-names":false,"suffix":""},{"dropping-particle":"","family":"Jääskeläinen","given":"Jarmo","non-dropping-particle":"","parse-names":false,"suffix":""},{"dropping-particle":"","family":"Lindi","given":"Virpi","non-dropping-particle":"","parse-names":false,"suffix":""},{"dropping-particle":"","family":"Eloranta","given":"Aino Maija","non-dropping-particle":"","parse-names":false,"suffix":""}],"container-title":"Diabetologia","id":"FUUmacoZ/z84yIUuU","issue":"11","issued":{"date-parts":[["2020","11","1"]]},"page":"2270-2281","publisher":"Springer Science and Business Media Deutschland GmbH","title":"A 2 year physical activity and dietary intervention attenuates the increase in insulin resistance in a general population of children: the PANIC study","type":"article-journal","volume":"63"}}],"schema":"https://github.com/citation-style-language/schema/raw/master/csl-citation.json"} </w:instrText>
      </w:r>
      <w:r w:rsidRPr="005D6771">
        <w:rPr>
          <w:rFonts w:ascii="Times New Roman" w:eastAsia="Calibri" w:hAnsi="Times New Roman" w:cs="Times New Roman"/>
          <w:color w:val="000000"/>
          <w:sz w:val="24"/>
          <w:szCs w:val="24"/>
          <w:lang w:val="en-US"/>
        </w:rPr>
        <w:fldChar w:fldCharType="separate"/>
      </w:r>
      <w:r w:rsidRPr="005D6771">
        <w:rPr>
          <w:rFonts w:ascii="Times New Roman" w:hAnsi="Times New Roman" w:cs="Times New Roman"/>
          <w:sz w:val="24"/>
          <w:szCs w:val="24"/>
          <w:vertAlign w:val="superscript"/>
          <w:lang w:val="en-US"/>
        </w:rPr>
        <w:t>1</w:t>
      </w:r>
      <w:r w:rsidRPr="005D6771">
        <w:rPr>
          <w:rFonts w:ascii="Times New Roman" w:eastAsia="Calibri" w:hAnsi="Times New Roman" w:cs="Times New Roman"/>
          <w:color w:val="000000"/>
          <w:sz w:val="24"/>
          <w:szCs w:val="24"/>
          <w:lang w:val="en-US"/>
        </w:rPr>
        <w:fldChar w:fldCharType="end"/>
      </w:r>
      <w:r w:rsidRPr="005D6771">
        <w:rPr>
          <w:rFonts w:ascii="Times New Roman" w:hAnsi="Times New Roman" w:cs="Times New Roman"/>
          <w:sz w:val="24"/>
          <w:szCs w:val="24"/>
          <w:lang w:val="en-GB"/>
        </w:rPr>
        <w:t xml:space="preserve">. We also proportionally matched the intervention and control group according to the size (small vs large) and the location of the schools (urban vs rural) to minimise sociodemographic differences between the groups. We included more children in the intervention group than in the control group because of a larger number of dropouts </w:t>
      </w:r>
      <w:r w:rsidRPr="005D6771">
        <w:rPr>
          <w:rFonts w:ascii="Times New Roman" w:hAnsi="Times New Roman" w:cs="Times New Roman"/>
          <w:sz w:val="24"/>
          <w:szCs w:val="24"/>
          <w:lang w:val="en-GB"/>
        </w:rPr>
        <w:lastRenderedPageBreak/>
        <w:t xml:space="preserve">expected in the intervention group and to retain a sufficient statistical power for comparison between the groups. The children, their parents or caregivers, or people carrying out the examination visits or doing the measurements were not blinded to the group assignment. </w:t>
      </w:r>
    </w:p>
    <w:p w14:paraId="2CD53DFC" w14:textId="77777777" w:rsidR="00CA22E7" w:rsidRPr="005D6771" w:rsidRDefault="00CA22E7" w:rsidP="00CA22E7">
      <w:pPr>
        <w:keepNext/>
        <w:keepLines/>
        <w:spacing w:before="40" w:after="0" w:line="480" w:lineRule="auto"/>
        <w:outlineLvl w:val="1"/>
        <w:rPr>
          <w:rFonts w:ascii="Times New Roman" w:eastAsia="Times New Roman" w:hAnsi="Times New Roman" w:cs="Times New Roman"/>
          <w:b/>
          <w:sz w:val="24"/>
          <w:szCs w:val="24"/>
          <w:lang w:val="en-US"/>
        </w:rPr>
      </w:pPr>
      <w:r w:rsidRPr="005D6771">
        <w:rPr>
          <w:rFonts w:ascii="Times New Roman" w:eastAsia="Times New Roman" w:hAnsi="Times New Roman" w:cs="Times New Roman"/>
          <w:b/>
          <w:sz w:val="24"/>
          <w:szCs w:val="24"/>
          <w:lang w:val="en-US"/>
        </w:rPr>
        <w:t>Assessment of physical activity and sedentary behavior</w:t>
      </w:r>
    </w:p>
    <w:p w14:paraId="681BFE19" w14:textId="4282D85E" w:rsidR="007E179B" w:rsidRDefault="004449FF" w:rsidP="004449FF">
      <w:pPr>
        <w:spacing w:after="120" w:line="480" w:lineRule="auto"/>
        <w:rPr>
          <w:rFonts w:ascii="Times New Roman" w:eastAsia="Calibri" w:hAnsi="Times New Roman" w:cs="Times New Roman"/>
          <w:sz w:val="24"/>
          <w:szCs w:val="24"/>
          <w:lang w:val="en-US"/>
        </w:rPr>
      </w:pPr>
      <w:r w:rsidRPr="005D6771">
        <w:rPr>
          <w:rFonts w:ascii="Times New Roman" w:eastAsia="Calibri" w:hAnsi="Times New Roman" w:cs="Times New Roman"/>
          <w:sz w:val="24"/>
          <w:szCs w:val="24"/>
          <w:lang w:val="en-US"/>
        </w:rPr>
        <w:t xml:space="preserve">Sedentary time (ST), light </w:t>
      </w:r>
      <w:r w:rsidR="00E5352F">
        <w:rPr>
          <w:rFonts w:ascii="Times New Roman" w:eastAsia="Calibri" w:hAnsi="Times New Roman" w:cs="Times New Roman"/>
          <w:sz w:val="24"/>
          <w:szCs w:val="24"/>
          <w:lang w:val="en-US"/>
        </w:rPr>
        <w:t xml:space="preserve">physical activity </w:t>
      </w:r>
      <w:r w:rsidRPr="005D6771">
        <w:rPr>
          <w:rFonts w:ascii="Times New Roman" w:eastAsia="Calibri" w:hAnsi="Times New Roman" w:cs="Times New Roman"/>
          <w:sz w:val="24"/>
          <w:szCs w:val="24"/>
          <w:lang w:val="en-US"/>
        </w:rPr>
        <w:t xml:space="preserve">(LPA), moderate PA (MPA), and vigorous PA (VPA) were assessed </w:t>
      </w:r>
      <w:r w:rsidR="00F01FF8">
        <w:rPr>
          <w:rFonts w:ascii="Times New Roman" w:eastAsia="Calibri" w:hAnsi="Times New Roman" w:cs="Times New Roman"/>
          <w:sz w:val="24"/>
          <w:szCs w:val="24"/>
          <w:lang w:val="en-US"/>
        </w:rPr>
        <w:t xml:space="preserve">at baseline and 2-year follow-up </w:t>
      </w:r>
      <w:r w:rsidR="001F7513">
        <w:rPr>
          <w:rFonts w:ascii="Times New Roman" w:eastAsia="Calibri" w:hAnsi="Times New Roman" w:cs="Times New Roman"/>
          <w:sz w:val="24"/>
          <w:szCs w:val="24"/>
          <w:lang w:val="en-US"/>
        </w:rPr>
        <w:t xml:space="preserve">(Supplemental figure) </w:t>
      </w:r>
      <w:r w:rsidRPr="005D6771">
        <w:rPr>
          <w:rFonts w:ascii="Times New Roman" w:eastAsia="Calibri" w:hAnsi="Times New Roman" w:cs="Times New Roman"/>
          <w:sz w:val="24"/>
          <w:szCs w:val="24"/>
          <w:lang w:val="en-US"/>
        </w:rPr>
        <w:t>using individually calibrated combined heart rate and body movement monitor</w:t>
      </w:r>
      <w:r w:rsidR="00F01FF8">
        <w:rPr>
          <w:rFonts w:ascii="Times New Roman" w:eastAsia="Calibri" w:hAnsi="Times New Roman" w:cs="Times New Roman"/>
          <w:sz w:val="24"/>
          <w:szCs w:val="24"/>
          <w:lang w:val="en-US"/>
        </w:rPr>
        <w:t xml:space="preserve"> (</w:t>
      </w:r>
      <w:proofErr w:type="spellStart"/>
      <w:r w:rsidR="00F01FF8" w:rsidRPr="00F01FF8">
        <w:rPr>
          <w:rFonts w:ascii="Times New Roman" w:eastAsia="Calibri" w:hAnsi="Times New Roman" w:cs="Times New Roman"/>
          <w:sz w:val="24"/>
          <w:szCs w:val="24"/>
          <w:lang w:val="en-US"/>
        </w:rPr>
        <w:t>Actiheart</w:t>
      </w:r>
      <w:proofErr w:type="spellEnd"/>
      <w:r w:rsidR="00F01FF8" w:rsidRPr="00F01FF8">
        <w:rPr>
          <w:rFonts w:ascii="Times New Roman" w:eastAsia="Calibri" w:hAnsi="Times New Roman" w:cs="Times New Roman"/>
          <w:sz w:val="24"/>
          <w:szCs w:val="24"/>
          <w:lang w:val="en-US"/>
        </w:rPr>
        <w:t xml:space="preserve">, </w:t>
      </w:r>
      <w:proofErr w:type="spellStart"/>
      <w:r w:rsidR="00F01FF8" w:rsidRPr="00F01FF8">
        <w:rPr>
          <w:rFonts w:ascii="Times New Roman" w:eastAsia="Calibri" w:hAnsi="Times New Roman" w:cs="Times New Roman"/>
          <w:sz w:val="24"/>
          <w:szCs w:val="24"/>
          <w:lang w:val="en-US"/>
        </w:rPr>
        <w:t>CamNtech</w:t>
      </w:r>
      <w:proofErr w:type="spellEnd"/>
      <w:r w:rsidR="00F01FF8" w:rsidRPr="00F01FF8">
        <w:rPr>
          <w:rFonts w:ascii="Times New Roman" w:eastAsia="Calibri" w:hAnsi="Times New Roman" w:cs="Times New Roman"/>
          <w:sz w:val="24"/>
          <w:szCs w:val="24"/>
          <w:lang w:val="en-US"/>
        </w:rPr>
        <w:t xml:space="preserve"> Ltd, Papworth, UK</w:t>
      </w:r>
      <w:r w:rsidR="00F01FF8">
        <w:rPr>
          <w:rFonts w:ascii="Times New Roman" w:eastAsia="Calibri" w:hAnsi="Times New Roman" w:cs="Times New Roman"/>
          <w:sz w:val="24"/>
          <w:szCs w:val="24"/>
          <w:lang w:val="en-US"/>
        </w:rPr>
        <w:t>)</w:t>
      </w:r>
      <w:r w:rsidR="007457BE">
        <w:rPr>
          <w:rFonts w:ascii="Times New Roman" w:eastAsia="Calibri" w:hAnsi="Times New Roman" w:cs="Times New Roman"/>
          <w:sz w:val="24"/>
          <w:szCs w:val="24"/>
          <w:lang w:val="en-US"/>
        </w:rPr>
        <w:fldChar w:fldCharType="begin"/>
      </w:r>
      <w:r w:rsidR="007457BE">
        <w:rPr>
          <w:rFonts w:ascii="Times New Roman" w:eastAsia="Calibri" w:hAnsi="Times New Roman" w:cs="Times New Roman"/>
          <w:sz w:val="24"/>
          <w:szCs w:val="24"/>
          <w:lang w:val="en-US"/>
        </w:rPr>
        <w:instrText xml:space="preserve"> ADDIN ZOTERO_ITEM CSL_CITATION {"citationID":"OuKCSfJl","properties":{"formattedCitation":"\\super 2,3\\nosupersub{}","plainCitation":"2,3","noteIndex":0},"citationItems":[{"id":103,"uris":["http://zotero.org/users/5849913/items/AGGVMN6Q"],"itemData":{"id":103,"type":"article-journal","abstract":"BackgroundThe minimum intensity of physical activity (PA) that is associated with favourable body composition and cardiorespiratory fitness (CRF) remains unknown.ObjectiveTo investigate cross-sectional associations of PA and sedentary time (ST) with body composition and CRF in mid-childhood.MethodsPA, ST, body composition and CRF were measured in a population-based sample of 410 children (aged 7.6 ± 0.4 years). Combined heart-rate and movement sensing provided estimates of PA energy expenditure (PAEE, kJ/kg/day) and time (min/day) at multiple fine-grained metabolic equivalent (MET) levels, which were also collapsed to ST and light PA (LPA), moderate PA (MPA) and vigorous PA (VPA). Fat mass index (FMI, kg/m2), trunk fat mass index (TFMI, kg/m2) and fat-free mass index (FFMI, kg/m2.5) were derived from dual-energy X-ray absorptiometry. Maximal workload from a cycle ergometer test provided a measure of CRF (W/kg FFM). Linear regression and isotemporal substitution models were used to investigate associations.ResultsThe cumulative time above 2 METs (221 J/min/kg) was inversely associated with FMI and TFMI in both sexes (p &lt; 0.001) whereas time spent above 3 METs was positively associated with CRF (p ≤ 0.002); CRF increased and adiposity decreased dose-dependently with increasing MET levels. ST was positively associated with FMI and TFMI (p &lt; 0.001) but there were inverse associations between all PA categories (including LPA) and adiposity (p ≤ 0.002); the magnitude of these associations depended on the activity being displaced in isotemporal substitution models but were consistently stronger for VPA. PAEE, MPA and to a greater extent VPA, were all positively related to CRF (p ≤ 0.001).ConclusionsPA exceeding 2 METs is associated with lower adiposity in mid-childhood, whereas PA of 3 METs is required to benefit CRF. VPA was most beneficial for fitness and fatness, from a time-for-time perspective, but displacing any lower-for-higher intensity may be an important first-order public health strategy.Clinical trial registry number (website): NCT01803776 (https://clinicaltrials.gov/ct2/show/NCT01803776).","container-title":"Sports Medicine","DOI":"10.1007/s40279-016-0606-x","ISSN":"1179-2035","issue":"4","journalAbbreviation":"Sports Med","language":"en","page":"769-780","source":"Springer Link","title":"Cross-Sectional Associations of Objectively-Measured Physical Activity and Sedentary Time with Body Composition and Cardiorespiratory Fitness in Mid-Childhood: The PANIC Study","title-short":"Cross-Sectional Associations of Objectively-Measured Physical Activity and Sedentary Time with Body Composition and Cardiorespiratory Fitness in Mid-Childhood","volume":"47","author":[{"family":"Collings","given":"Paul J."},{"family":"Westgate","given":"Kate"},{"family":"Väistö","given":"Juuso"},{"family":"Wijndaele","given":"Katrien"},{"family":"Atkin","given":"Andrew J."},{"family":"Haapala","given":"Eero A."},{"family":"Lintu","given":"Niina"},{"family":"Laitinen","given":"Tomi"},{"family":"Ekelund","given":"Ulf"},{"family":"Brage","given":"Soren"},{"family":"Lakka","given":"Timo A."}],"issued":{"date-parts":[["2017",4,1]]}}},{"id":"s1SPejOu/E3Tob6Zj","uris":["http://www.mendeley.com/documents/?uuid=05aa982f-2b7f-3d7b-bc62-27289dd26571"],"itemData":{"DOI":"10.1111/sms.13315","ISSN":"16000838","PMID":"30276872","abstract":"Background: There are few prospective studies on the associations of changes in objectively measured vigorous physical activity (VPA∆), moderate-to-vigorous physical activity (MVPA∆), light physical activity (LPA∆), and sedentary time (ST∆) with changes in cardiometabolic risk factors (∆) in children. We therefore investigated these relationships among children. Methods: The participants were a population sample of 258 children aged 6-8 years followed for 2 years. We assessed PA and ST by a combined heart rate and movement sensor; computed continuous age- and sex-adjusted z-scores for waist circumference, blood pressure, and fasting insulin, glucose, triglycerides, and high-density lipoprotein (HDL) cholesterol; and constructed a cardiometabolic risk score (CRS) of these risk factors. Data were analyzed using linear regression models adjusted for age, sex, the explanatory and outcome variables at baseline, and puberty. Results: VPA∆ associated inversely with CRS∆ (β = −0.209, P = 0.001), body fat percentage (BF%)∆(β = −0.244, P = 0.001), insulin∆ (β = −0.220, P = 0.001), and triglycerides∆ (β = −0.164, P = 0.012) and directly with HDL cholesterol∆(β = 0.159, P = 0.023). MVPA∆ associated inversely with CRS∆(β = −0.178, P = 0.012), BF%∆(β = −0.298, P = &lt;0.001), and insulin∆ (β = −0.213, P = 0.006) and directly with HDL cholesterol∆ (β = 0.184, P = 0.022). LPA∆ only associated negatively with CRS∆(β = −0.163, P = 0.032). ST∆ associated directly with CRS∆ (β = 0.218, P = 0.003), BF%∆ (β = 0.212, P = 0.016), and insulin∆ (β = 0.159, P = 0.049). Conclusions: Increased VPA and MVPA and decreased ST were associated with reduced overall cardiometabolic risk and major individual risk factors. Change in LPA had weaker associations with changes in these cardiometabolic risk factors. Our findings suggest that increasing at least moderate-intensity PA and decreasing ST decrease cardiometabolic risk in children.","author":[{"dropping-particle":"","family":"Väistö","given":"Juuso","non-dropping-particle":"","parse-names":false,"suffix":""},{"dropping-particle":"","family":"Haapala","given":"Eero A.","non-dropping-particle":"","parse-names":false,"suffix":""},{"dropping-particle":"","family":"Viitasalo","given":"Anna","non-dropping-particle":"","parse-names":false,"suffix":""},{"dropping-particle":"","family":"Schnurr","given":"Theresia M.","non-dropping-particle":"","parse-names":false,"suffix":""},{"dropping-particle":"","family":"Kilpeläinen","given":"Tuomas O.","non-dropping-particle":"","parse-names":false,"suffix":""},{"dropping-particle":"","family":"Karjalainen","given":"Panu","non-dropping-particle":"","parse-names":false,"suffix":""},{"dropping-particle":"","family":"Westgate","given":"Kate","non-dropping-particle":"","parse-names":false,"suffix":""},{"dropping-particle":"","family":"Lakka","given":"Hanna Maaria","non-dropping-particle":"","parse-names":false,"suffix":""},{"dropping-particle":"","family":"Laaksonen","given":"David E.","non-dropping-particle":"","parse-names":false,"suffix":""},{"dropping-particle":"","family":"Ekelund","given":"Ulf","non-dropping-particle":"","parse-names":false,"suffix":""},{"dropping-particle":"","family":"Brage","given":"Søren","non-dropping-particle":"","parse-names":false,"suffix":""},{"dropping-particle":"","family":"Lakka","given":"Timo A.","non-dropping-particle":"","parse-names":false,"suffix":""}],"container-title":"Scandinavian Journal of Medicine and Science in Sports","id":"s1SPejOu/E3Tob6Zj","issue":"1","issued":{"date-parts":[["2019","1","1"]]},"page":"113-123","publisher":"Blackwell Munksgaard","title":"Longitudinal associations of physical activity and sedentary time with cardiometabolic risk factors in children","type":"article-journal","volume":"29"}}],"schema":"https://github.com/citation-style-language/schema/raw/master/csl-citation.json"} </w:instrText>
      </w:r>
      <w:r w:rsidR="007457BE">
        <w:rPr>
          <w:rFonts w:ascii="Times New Roman" w:eastAsia="Calibri" w:hAnsi="Times New Roman" w:cs="Times New Roman"/>
          <w:sz w:val="24"/>
          <w:szCs w:val="24"/>
          <w:lang w:val="en-US"/>
        </w:rPr>
        <w:fldChar w:fldCharType="separate"/>
      </w:r>
      <w:r w:rsidR="007457BE" w:rsidRPr="007457BE">
        <w:rPr>
          <w:rFonts w:ascii="Times New Roman" w:hAnsi="Times New Roman" w:cs="Times New Roman"/>
          <w:sz w:val="24"/>
          <w:szCs w:val="24"/>
          <w:vertAlign w:val="superscript"/>
          <w:lang w:val="en-US"/>
        </w:rPr>
        <w:t>2,3</w:t>
      </w:r>
      <w:r w:rsidR="007457BE">
        <w:rPr>
          <w:rFonts w:ascii="Times New Roman" w:eastAsia="Calibri" w:hAnsi="Times New Roman" w:cs="Times New Roman"/>
          <w:sz w:val="24"/>
          <w:szCs w:val="24"/>
          <w:lang w:val="en-US"/>
        </w:rPr>
        <w:fldChar w:fldCharType="end"/>
      </w:r>
      <w:r w:rsidRPr="00E5768E">
        <w:rPr>
          <w:rFonts w:ascii="Times New Roman" w:eastAsia="Calibri" w:hAnsi="Times New Roman" w:cs="Times New Roman"/>
          <w:color w:val="FF0000"/>
          <w:sz w:val="24"/>
          <w:szCs w:val="24"/>
          <w:vertAlign w:val="superscript"/>
          <w:lang w:val="en-US"/>
        </w:rPr>
        <w:t xml:space="preserve"> </w:t>
      </w:r>
      <w:r w:rsidRPr="00B355C2">
        <w:rPr>
          <w:rFonts w:ascii="Times New Roman" w:eastAsia="Calibri" w:hAnsi="Times New Roman" w:cs="Times New Roman"/>
          <w:sz w:val="24"/>
          <w:szCs w:val="24"/>
          <w:lang w:val="en-US"/>
        </w:rPr>
        <w:t xml:space="preserve">which </w:t>
      </w:r>
      <w:r w:rsidR="007457BE">
        <w:rPr>
          <w:rFonts w:ascii="Times New Roman" w:eastAsia="Calibri" w:hAnsi="Times New Roman" w:cs="Times New Roman"/>
          <w:sz w:val="24"/>
          <w:szCs w:val="24"/>
          <w:lang w:val="en-US"/>
        </w:rPr>
        <w:t>was</w:t>
      </w:r>
      <w:r w:rsidRPr="00B355C2">
        <w:rPr>
          <w:rFonts w:ascii="Times New Roman" w:eastAsia="Calibri" w:hAnsi="Times New Roman" w:cs="Times New Roman"/>
          <w:sz w:val="24"/>
          <w:szCs w:val="24"/>
          <w:lang w:val="en-US"/>
        </w:rPr>
        <w:t xml:space="preserve"> attached to the chest with standard electrocardiogram (ECG) electrodes (Bio Protech Inc, </w:t>
      </w:r>
      <w:proofErr w:type="spellStart"/>
      <w:r w:rsidRPr="00B355C2">
        <w:rPr>
          <w:rFonts w:ascii="Times New Roman" w:eastAsia="Calibri" w:hAnsi="Times New Roman" w:cs="Times New Roman"/>
          <w:sz w:val="24"/>
          <w:szCs w:val="24"/>
          <w:lang w:val="en-US"/>
        </w:rPr>
        <w:t>Wonju</w:t>
      </w:r>
      <w:proofErr w:type="spellEnd"/>
      <w:r w:rsidRPr="00B355C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South Korea). The monitor was set to record heart rate</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and body movement in 60‐second epochs. The participants</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were instructed to carry on with their usual behavior and</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to wear the monitor during all daily activities, including</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sleep, shower, sauna, and swimming. The activity patterns</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 xml:space="preserve">of </w:t>
      </w:r>
      <w:r w:rsidR="00F01FF8">
        <w:rPr>
          <w:rFonts w:ascii="Times New Roman" w:eastAsia="Calibri" w:hAnsi="Times New Roman" w:cs="Times New Roman"/>
          <w:sz w:val="24"/>
          <w:szCs w:val="24"/>
          <w:lang w:val="en-US"/>
        </w:rPr>
        <w:t xml:space="preserve">school-aged </w:t>
      </w:r>
      <w:r w:rsidRPr="00B355C2">
        <w:rPr>
          <w:rFonts w:ascii="Times New Roman" w:eastAsia="Calibri" w:hAnsi="Times New Roman" w:cs="Times New Roman"/>
          <w:sz w:val="24"/>
          <w:szCs w:val="24"/>
          <w:lang w:val="en-US"/>
        </w:rPr>
        <w:t>children are known to vary markedly between</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weekdays and weekend days</w:t>
      </w:r>
      <w:r w:rsidR="007457BE">
        <w:rPr>
          <w:rFonts w:ascii="Times New Roman" w:eastAsia="Calibri" w:hAnsi="Times New Roman" w:cs="Times New Roman"/>
          <w:sz w:val="24"/>
          <w:szCs w:val="24"/>
          <w:lang w:val="en-US"/>
        </w:rPr>
        <w:fldChar w:fldCharType="begin"/>
      </w:r>
      <w:r w:rsidR="007457BE">
        <w:rPr>
          <w:rFonts w:ascii="Times New Roman" w:eastAsia="Calibri" w:hAnsi="Times New Roman" w:cs="Times New Roman"/>
          <w:sz w:val="24"/>
          <w:szCs w:val="24"/>
          <w:lang w:val="en-US"/>
        </w:rPr>
        <w:instrText xml:space="preserve"> ADDIN ZOTERO_ITEM CSL_CITATION {"citationID":"5ke7migQ","properties":{"formattedCitation":"\\super 4\\nosupersub{}","plainCitation":"4","noteIndex":0},"citationItems":[{"id":3113,"uris":["http://zotero.org/users/5849913/items/D7QNZ8M2"],"itemData":{"id":3113,"type":"article-journal","abstract":"Targeting specific time periods of the day or week may enhance physical activity (PA) interventions in youth. The most prudent time segments to target are currently unclear.","container-title":"Sports Medicine","DOI":"10.1007/s40279-014-0215-5","ISSN":"1179-2035","issue":"10","journalAbbreviation":"Sports Med","language":"en","page":"1427-1438","source":"Springer Link","title":"A Systematic Literature Review with Meta-Analyses of Within- and Between-Day Differences in Objectively Measured Physical Activity in School-Aged Children","volume":"44","author":[{"family":"Brooke","given":"Hannah L."},{"family":"Corder","given":"Kirsten"},{"family":"Atkin","given":"Andrew J."},{"family":"Sluijs","given":"Esther M. F.","non-dropping-particle":"van"}],"issued":{"date-parts":[["2014",10,1]]}}}],"schema":"https://github.com/citation-style-language/schema/raw/master/csl-citation.json"} </w:instrText>
      </w:r>
      <w:r w:rsidR="007457BE">
        <w:rPr>
          <w:rFonts w:ascii="Times New Roman" w:eastAsia="Calibri" w:hAnsi="Times New Roman" w:cs="Times New Roman"/>
          <w:sz w:val="24"/>
          <w:szCs w:val="24"/>
          <w:lang w:val="en-US"/>
        </w:rPr>
        <w:fldChar w:fldCharType="separate"/>
      </w:r>
      <w:r w:rsidR="007457BE" w:rsidRPr="007457BE">
        <w:rPr>
          <w:rFonts w:ascii="Times New Roman" w:hAnsi="Times New Roman" w:cs="Times New Roman"/>
          <w:sz w:val="24"/>
          <w:szCs w:val="24"/>
          <w:vertAlign w:val="superscript"/>
          <w:lang w:val="en-US"/>
        </w:rPr>
        <w:t>4</w:t>
      </w:r>
      <w:r w:rsidR="007457BE">
        <w:rPr>
          <w:rFonts w:ascii="Times New Roman" w:eastAsia="Calibri" w:hAnsi="Times New Roman" w:cs="Times New Roman"/>
          <w:sz w:val="24"/>
          <w:szCs w:val="24"/>
          <w:lang w:val="en-US"/>
        </w:rPr>
        <w:fldChar w:fldCharType="end"/>
      </w:r>
      <w:r w:rsidRPr="00B355C2">
        <w:rPr>
          <w:rFonts w:ascii="Times New Roman" w:eastAsia="Calibri" w:hAnsi="Times New Roman" w:cs="Times New Roman"/>
          <w:sz w:val="24"/>
          <w:szCs w:val="24"/>
          <w:lang w:val="en-US"/>
        </w:rPr>
        <w:t>.</w:t>
      </w:r>
      <w:r w:rsidRPr="00E5768E">
        <w:rPr>
          <w:rFonts w:ascii="Times New Roman" w:eastAsia="Calibri" w:hAnsi="Times New Roman" w:cs="Times New Roman"/>
          <w:color w:val="FF0000"/>
          <w:sz w:val="24"/>
          <w:szCs w:val="24"/>
          <w:lang w:val="en-US"/>
        </w:rPr>
        <w:t xml:space="preserve"> </w:t>
      </w:r>
      <w:r w:rsidRPr="00B355C2">
        <w:rPr>
          <w:rFonts w:ascii="Times New Roman" w:eastAsia="Calibri" w:hAnsi="Times New Roman" w:cs="Times New Roman"/>
          <w:sz w:val="24"/>
          <w:szCs w:val="24"/>
          <w:lang w:val="en-US"/>
        </w:rPr>
        <w:t>The participants were</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therefore requested to wear the monitor continuously for</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 xml:space="preserve">a minimum of four consecutive days, </w:t>
      </w:r>
      <w:r>
        <w:rPr>
          <w:rFonts w:ascii="Times New Roman" w:eastAsia="Calibri" w:hAnsi="Times New Roman" w:cs="Times New Roman"/>
          <w:sz w:val="24"/>
          <w:szCs w:val="24"/>
          <w:lang w:val="en-US"/>
        </w:rPr>
        <w:t>i</w:t>
      </w:r>
      <w:r w:rsidRPr="00B355C2">
        <w:rPr>
          <w:rFonts w:ascii="Times New Roman" w:eastAsia="Calibri" w:hAnsi="Times New Roman" w:cs="Times New Roman"/>
          <w:sz w:val="24"/>
          <w:szCs w:val="24"/>
          <w:lang w:val="en-US"/>
        </w:rPr>
        <w:t>ncluding two weekdays and two weekend days, to obtain more representative</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information on PA and ST. We accepted PA and ST data for the</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statistical analyses if there was a minimum of 48 hours</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of activity recording in weekday and weekend day hours</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that included at least 12 hours from morning (3 am‐9 am),</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noon (9 am‐3 pm), afternoon (3 pm‐9 pm), and night (9 pm‐3</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am) to avoid potential bias from over‐representing specific</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times and activities of the days.</w:t>
      </w:r>
      <w:r>
        <w:rPr>
          <w:rFonts w:ascii="Times New Roman" w:eastAsia="Calibri" w:hAnsi="Times New Roman" w:cs="Times New Roman"/>
          <w:sz w:val="24"/>
          <w:szCs w:val="24"/>
          <w:lang w:val="en-US"/>
        </w:rPr>
        <w:t xml:space="preserve"> </w:t>
      </w:r>
    </w:p>
    <w:p w14:paraId="025FD040" w14:textId="75AB202D" w:rsidR="002C44C9" w:rsidRDefault="004449FF" w:rsidP="00DC77FD">
      <w:pPr>
        <w:spacing w:after="120" w:line="480" w:lineRule="auto"/>
        <w:rPr>
          <w:rFonts w:ascii="Times New Roman" w:eastAsia="Calibri" w:hAnsi="Times New Roman" w:cs="Times New Roman"/>
          <w:sz w:val="24"/>
          <w:szCs w:val="24"/>
          <w:lang w:val="en-GB"/>
        </w:rPr>
      </w:pPr>
      <w:r w:rsidRPr="00B355C2">
        <w:rPr>
          <w:rFonts w:ascii="Times New Roman" w:eastAsia="Calibri" w:hAnsi="Times New Roman" w:cs="Times New Roman"/>
          <w:sz w:val="24"/>
          <w:szCs w:val="24"/>
          <w:lang w:val="en-US"/>
        </w:rPr>
        <w:t>Heart rate data were cleaned</w:t>
      </w:r>
      <w:r w:rsidRPr="00E5768E">
        <w:rPr>
          <w:rFonts w:ascii="Times New Roman" w:eastAsia="Calibri" w:hAnsi="Times New Roman" w:cs="Times New Roman"/>
          <w:color w:val="FF0000"/>
          <w:sz w:val="24"/>
          <w:szCs w:val="24"/>
          <w:vertAlign w:val="superscript"/>
          <w:lang w:val="en-US"/>
        </w:rPr>
        <w:t xml:space="preserve">. </w:t>
      </w:r>
      <w:r w:rsidRPr="00B355C2">
        <w:rPr>
          <w:rFonts w:ascii="Times New Roman" w:eastAsia="Calibri" w:hAnsi="Times New Roman" w:cs="Times New Roman"/>
          <w:sz w:val="24"/>
          <w:szCs w:val="24"/>
          <w:lang w:val="en-US"/>
        </w:rPr>
        <w:t>and individually calibrated with sleeping heart rate and parameters obtained</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from maximal exercise tests</w:t>
      </w:r>
      <w:r w:rsidRPr="00E5768E">
        <w:rPr>
          <w:lang w:val="en-US"/>
        </w:rPr>
        <w:t xml:space="preserve"> </w:t>
      </w:r>
      <w:r w:rsidRPr="00B355C2">
        <w:rPr>
          <w:rFonts w:ascii="Times New Roman" w:eastAsia="Calibri" w:hAnsi="Times New Roman" w:cs="Times New Roman"/>
          <w:sz w:val="24"/>
          <w:szCs w:val="24"/>
          <w:lang w:val="en-US"/>
        </w:rPr>
        <w:t xml:space="preserve">performed by the </w:t>
      </w:r>
      <w:proofErr w:type="spellStart"/>
      <w:r w:rsidRPr="00B355C2">
        <w:rPr>
          <w:rFonts w:ascii="Times New Roman" w:eastAsia="Calibri" w:hAnsi="Times New Roman" w:cs="Times New Roman"/>
          <w:sz w:val="24"/>
          <w:szCs w:val="24"/>
          <w:lang w:val="en-US"/>
        </w:rPr>
        <w:t>Ergoselect</w:t>
      </w:r>
      <w:proofErr w:type="spellEnd"/>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 xml:space="preserve">200 K® electromagnetic bicycle ergometer (Ergoline, </w:t>
      </w:r>
      <w:proofErr w:type="spellStart"/>
      <w:r w:rsidRPr="00B355C2">
        <w:rPr>
          <w:rFonts w:ascii="Times New Roman" w:eastAsia="Calibri" w:hAnsi="Times New Roman" w:cs="Times New Roman"/>
          <w:sz w:val="24"/>
          <w:szCs w:val="24"/>
          <w:lang w:val="en-US"/>
        </w:rPr>
        <w:t>Bitz</w:t>
      </w:r>
      <w:proofErr w:type="spellEnd"/>
      <w:r w:rsidRPr="00B355C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 xml:space="preserve">Germany) and the </w:t>
      </w:r>
      <w:proofErr w:type="spellStart"/>
      <w:r w:rsidRPr="00B355C2">
        <w:rPr>
          <w:rFonts w:ascii="Times New Roman" w:eastAsia="Calibri" w:hAnsi="Times New Roman" w:cs="Times New Roman"/>
          <w:sz w:val="24"/>
          <w:szCs w:val="24"/>
          <w:lang w:val="en-US"/>
        </w:rPr>
        <w:t>Cardiosoft</w:t>
      </w:r>
      <w:proofErr w:type="spellEnd"/>
      <w:r w:rsidRPr="00B355C2">
        <w:rPr>
          <w:rFonts w:ascii="Times New Roman" w:eastAsia="Calibri" w:hAnsi="Times New Roman" w:cs="Times New Roman"/>
          <w:sz w:val="24"/>
          <w:szCs w:val="24"/>
          <w:lang w:val="en-US"/>
        </w:rPr>
        <w:t>® V6.5 Diagnostic System ECG</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device (GE Healthcare Medical Systems, Freiburg, Germany)</w:t>
      </w:r>
      <w:r w:rsidR="00E5352F">
        <w:rPr>
          <w:rFonts w:ascii="Times New Roman" w:eastAsia="Calibri" w:hAnsi="Times New Roman" w:cs="Times New Roman"/>
          <w:sz w:val="24"/>
          <w:szCs w:val="24"/>
          <w:lang w:val="en-US"/>
        </w:rPr>
        <w:fldChar w:fldCharType="begin"/>
      </w:r>
      <w:r w:rsidR="00E5352F">
        <w:rPr>
          <w:rFonts w:ascii="Times New Roman" w:eastAsia="Calibri" w:hAnsi="Times New Roman" w:cs="Times New Roman"/>
          <w:sz w:val="24"/>
          <w:szCs w:val="24"/>
          <w:lang w:val="en-US"/>
        </w:rPr>
        <w:instrText xml:space="preserve"> ADDIN ZOTERO_ITEM CSL_CITATION {"citationID":"9FfU4VAq","properties":{"formattedCitation":"\\super 2\\nosupersub{}","plainCitation":"2","noteIndex":0},"citationItems":[{"id":103,"uris":["http://zotero.org/users/5849913/items/AGGVMN6Q"],"itemData":{"id":103,"type":"article-journal","abstract":"BackgroundThe minimum intensity of physical activity (PA) that is associated with favourable body composition and cardiorespiratory fitness (CRF) remains unknown.ObjectiveTo investigate cross-sectional associations of PA and sedentary time (ST) with body composition and CRF in mid-childhood.MethodsPA, ST, body composition and CRF were measured in a population-based sample of 410 children (aged 7.6 ± 0.4 years). Combined heart-rate and movement sensing provided estimates of PA energy expenditure (PAEE, kJ/kg/day) and time (min/day) at multiple fine-grained metabolic equivalent (MET) levels, which were also collapsed to ST and light PA (LPA), moderate PA (MPA) and vigorous PA (VPA). Fat mass index (FMI, kg/m2), trunk fat mass index (TFMI, kg/m2) and fat-free mass index (FFMI, kg/m2.5) were derived from dual-energy X-ray absorptiometry. Maximal workload from a cycle ergometer test provided a measure of CRF (W/kg FFM). Linear regression and isotemporal substitution models were used to investigate associations.ResultsThe cumulative time above 2 METs (221 J/min/kg) was inversely associated with FMI and TFMI in both sexes (p &lt; 0.001) whereas time spent above 3 METs was positively associated with CRF (p ≤ 0.002); CRF increased and adiposity decreased dose-dependently with increasing MET levels. ST was positively associated with FMI and TFMI (p &lt; 0.001) but there were inverse associations between all PA categories (including LPA) and adiposity (p ≤ 0.002); the magnitude of these associations depended on the activity being displaced in isotemporal substitution models but were consistently stronger for VPA. PAEE, MPA and to a greater extent VPA, were all positively related to CRF (p ≤ 0.001).ConclusionsPA exceeding 2 METs is associated with lower adiposity in mid-childhood, whereas PA of 3 METs is required to benefit CRF. VPA was most beneficial for fitness and fatness, from a time-for-time perspective, but displacing any lower-for-higher intensity may be an important first-order public health strategy.Clinical trial registry number (website): NCT01803776 (https://clinicaltrials.gov/ct2/show/NCT01803776).","container-title":"Sports Medicine","DOI":"10.1007/s40279-016-0606-x","ISSN":"1179-2035","issue":"4","journalAbbreviation":"Sports Med","language":"en","page":"769-780","source":"Springer Link","title":"Cross-Sectional Associations of Objectively-Measured Physical Activity and Sedentary Time with Body Composition and Cardiorespiratory Fitness in Mid-Childhood: The PANIC Study","title-short":"Cross-Sectional Associations of Objectively-Measured Physical Activity and Sedentary Time with Body Composition and Cardiorespiratory Fitness in Mid-Childhood","volume":"47","author":[{"family":"Collings","given":"Paul J."},{"family":"Westgate","given":"Kate"},{"family":"Väistö","given":"Juuso"},{"family":"Wijndaele","given":"Katrien"},{"family":"Atkin","given":"Andrew J."},{"family":"Haapala","given":"Eero A."},{"family":"Lintu","given":"Niina"},{"family":"Laitinen","given":"Tomi"},{"family":"Ekelund","given":"Ulf"},{"family":"Brage","given":"Soren"},{"family":"Lakka","given":"Timo A."}],"issued":{"date-parts":[["2017",4,1]]}}}],"schema":"https://github.com/citation-style-language/schema/raw/master/csl-citation.json"} </w:instrText>
      </w:r>
      <w:r w:rsidR="00E5352F">
        <w:rPr>
          <w:rFonts w:ascii="Times New Roman" w:eastAsia="Calibri" w:hAnsi="Times New Roman" w:cs="Times New Roman"/>
          <w:sz w:val="24"/>
          <w:szCs w:val="24"/>
          <w:lang w:val="en-US"/>
        </w:rPr>
        <w:fldChar w:fldCharType="separate"/>
      </w:r>
      <w:r w:rsidR="00E5352F" w:rsidRPr="00E5352F">
        <w:rPr>
          <w:rFonts w:ascii="Times New Roman" w:hAnsi="Times New Roman" w:cs="Times New Roman"/>
          <w:sz w:val="24"/>
          <w:szCs w:val="24"/>
          <w:vertAlign w:val="superscript"/>
          <w:lang w:val="en-US"/>
        </w:rPr>
        <w:t>2</w:t>
      </w:r>
      <w:r w:rsidR="00E5352F">
        <w:rPr>
          <w:rFonts w:ascii="Times New Roman" w:eastAsia="Calibri" w:hAnsi="Times New Roman" w:cs="Times New Roman"/>
          <w:sz w:val="24"/>
          <w:szCs w:val="24"/>
          <w:lang w:val="en-US"/>
        </w:rPr>
        <w:fldChar w:fldCharType="end"/>
      </w:r>
      <w:r w:rsidRPr="00B355C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 xml:space="preserve">The heart rate data were finally combined with trunk acceleration data in a branched equation </w:t>
      </w:r>
      <w:r w:rsidRPr="00B355C2">
        <w:rPr>
          <w:rFonts w:ascii="Times New Roman" w:eastAsia="Calibri" w:hAnsi="Times New Roman" w:cs="Times New Roman"/>
          <w:sz w:val="24"/>
          <w:szCs w:val="24"/>
          <w:lang w:val="en-US"/>
        </w:rPr>
        <w:lastRenderedPageBreak/>
        <w:t>model to estimate activity intensity time‐series</w:t>
      </w:r>
      <w:r w:rsidR="00E5352F">
        <w:rPr>
          <w:rFonts w:ascii="Times New Roman" w:eastAsia="Calibri" w:hAnsi="Times New Roman" w:cs="Times New Roman"/>
          <w:sz w:val="24"/>
          <w:szCs w:val="24"/>
          <w:lang w:val="en-US"/>
        </w:rPr>
        <w:fldChar w:fldCharType="begin"/>
      </w:r>
      <w:r w:rsidR="00E5352F">
        <w:rPr>
          <w:rFonts w:ascii="Times New Roman" w:eastAsia="Calibri" w:hAnsi="Times New Roman" w:cs="Times New Roman"/>
          <w:sz w:val="24"/>
          <w:szCs w:val="24"/>
          <w:lang w:val="en-US"/>
        </w:rPr>
        <w:instrText xml:space="preserve"> ADDIN ZOTERO_ITEM CSL_CITATION {"citationID":"iDTxdAiG","properties":{"formattedCitation":"\\super 5\\nosupersub{}","plainCitation":"5","noteIndex":0},"citationItems":[{"id":322,"uris":["http://zotero.org/users/5849913/items/7CAVSJ97"],"itemData":{"id":322,"type":"article-journal","abstract":"Combining accelerometry with heart rate (HR) monitoring may improve precision of physical activity measurement. Considerable variation exists in the relationships between physical activity intensity (PAI) and HR and accelerometry, which may be reduced by individual calibration. However, individual calibration limits feasibility of these techniques in population studies, and less burdensome, yet valid, methods of calibration are required. We aimed to evaluate the precision of different individual calibration procedures against a reference calibration procedure: a ramped treadmill walking-running test with continuous measurement of PAI by indirect calorimetry in 26 women and 25 men [mean (SD): 35 (9) yr, 1.69 (0.10) m, 70 (14) kg]. Acceleration (along the longitudinal axis of the trunk) and HR were measured simultaneously. Alternative calibration procedures included treadmill testing without calorimetry, submaximal step and walk tests with and without calorimetry, and nonexercise calibration using sleeping HR and gender. Reference accelerometry and HR models explained &gt;95% of the between-individual variance in PAI (P &lt; 0.001). This fraction dropped to 73 and 81%, respectively, for accelerometry and HR models calibrated with treadmill tests without calorimetry. Step-test calibration captured 62–64% (accelerometry) and 68% (HR) of the variance between individuals. Corresponding values were 63–76% and 59–61% for walk-test calibration. There was only little benefit of including calorimetry during step and walk calibration for HR models. Nonexercise calibration procedures explained 54% (accelerometry) and 30% (HR) of the between-individual variance. In conclusion, a substantial proportion of the between-individual variance in relationships between PAI, accelerometry, and HR is captured with simple calibration procedures, feasible for use in epidemiological studies.","container-title":"Journal of Applied Physiology","DOI":"10.1152/japplphysiol.00092.2006","ISSN":"8750-7587","issue":"2","note":"publisher: American Physiological Society","page":"682-692","source":"journals.physiology.org (Atypon)","title":"Hierarchy of individual calibration levels for heart rate and accelerometry to measure physical activity","volume":"103","author":[{"family":"Brage","given":"Søren"},{"family":"Ekelund","given":"Ulf"},{"family":"Brage","given":"Niels"},{"family":"Hennings","given":"Mark A."},{"family":"Froberg","given":"Karsten"},{"family":"Franks","given":"Paul W."},{"family":"Wareham","given":"Nicholas J."}],"issued":{"date-parts":[["2007",8,1]]}}}],"schema":"https://github.com/citation-style-language/schema/raw/master/csl-citation.json"} </w:instrText>
      </w:r>
      <w:r w:rsidR="00E5352F">
        <w:rPr>
          <w:rFonts w:ascii="Times New Roman" w:eastAsia="Calibri" w:hAnsi="Times New Roman" w:cs="Times New Roman"/>
          <w:sz w:val="24"/>
          <w:szCs w:val="24"/>
          <w:lang w:val="en-US"/>
        </w:rPr>
        <w:fldChar w:fldCharType="separate"/>
      </w:r>
      <w:r w:rsidR="00E5352F" w:rsidRPr="00E5352F">
        <w:rPr>
          <w:rFonts w:ascii="Times New Roman" w:hAnsi="Times New Roman" w:cs="Times New Roman"/>
          <w:sz w:val="24"/>
          <w:szCs w:val="24"/>
          <w:vertAlign w:val="superscript"/>
          <w:lang w:val="en-US"/>
        </w:rPr>
        <w:t>5</w:t>
      </w:r>
      <w:r w:rsidR="00E5352F">
        <w:rPr>
          <w:rFonts w:ascii="Times New Roman" w:eastAsia="Calibri" w:hAnsi="Times New Roman" w:cs="Times New Roman"/>
          <w:sz w:val="24"/>
          <w:szCs w:val="24"/>
          <w:lang w:val="en-US"/>
        </w:rPr>
        <w:fldChar w:fldCharType="end"/>
      </w:r>
      <w:r w:rsidR="00E5352F">
        <w:rPr>
          <w:rFonts w:ascii="Times New Roman" w:eastAsia="Calibri" w:hAnsi="Times New Roman" w:cs="Times New Roman"/>
          <w:sz w:val="24"/>
          <w:szCs w:val="24"/>
          <w:lang w:val="en-US"/>
        </w:rPr>
        <w:t>.</w:t>
      </w:r>
      <w:r w:rsidRPr="00B355C2">
        <w:rPr>
          <w:rFonts w:ascii="Times New Roman" w:eastAsia="Calibri" w:hAnsi="Times New Roman" w:cs="Times New Roman"/>
          <w:sz w:val="24"/>
          <w:szCs w:val="24"/>
          <w:lang w:val="en-US"/>
        </w:rPr>
        <w:t xml:space="preserve"> PA</w:t>
      </w:r>
      <w:r w:rsidR="00E5352F">
        <w:rPr>
          <w:rFonts w:ascii="Times New Roman" w:eastAsia="Calibri" w:hAnsi="Times New Roman" w:cs="Times New Roman"/>
          <w:sz w:val="24"/>
          <w:szCs w:val="24"/>
          <w:lang w:val="en-US"/>
        </w:rPr>
        <w:t xml:space="preserve"> energy expenditure</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was calculated by integrating the intensity time‐series, where</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time distribution of activity intensity was generated by using</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standard metabolic equivalents (METs) in 0.5 increments.</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 xml:space="preserve">Sleep duration was analyzed from the </w:t>
      </w:r>
      <w:proofErr w:type="spellStart"/>
      <w:r w:rsidRPr="00B355C2">
        <w:rPr>
          <w:rFonts w:ascii="Times New Roman" w:eastAsia="Calibri" w:hAnsi="Times New Roman" w:cs="Times New Roman"/>
          <w:sz w:val="24"/>
          <w:szCs w:val="24"/>
          <w:lang w:val="en-US"/>
        </w:rPr>
        <w:t>Actiheart</w:t>
      </w:r>
      <w:proofErr w:type="spellEnd"/>
      <w:r w:rsidRPr="00B355C2">
        <w:rPr>
          <w:rFonts w:ascii="Times New Roman" w:eastAsia="Calibri" w:hAnsi="Times New Roman" w:cs="Times New Roman"/>
          <w:sz w:val="24"/>
          <w:szCs w:val="24"/>
          <w:lang w:val="en-US"/>
        </w:rPr>
        <w:t xml:space="preserve"> recordings</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by a trained exercise specialist and confirmed by a physician,</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if necessary. The time of falling asleep was defined as accelerometer counts decreasing to zero and heart rate to a plateau</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level. The time of waking up was defined as accelerometer</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counts increasing and remaining above zero and heart rate</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increasing and remaining above the plateau level. We defined</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total ST as time spent in activity ≤1.5 METs excluding sleep</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and LPA, MPA, and VPA as time</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spent in activity &gt;1.5 and ≤4.0 METs, &gt;4.0 and ≤7.0 METs,</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 xml:space="preserve">and &gt;7.0 METs, respectively, by defining 1 MET as </w:t>
      </w:r>
      <w:r w:rsidR="007E179B" w:rsidRPr="007E179B">
        <w:rPr>
          <w:rFonts w:ascii="Times New Roman" w:eastAsia="Calibri" w:hAnsi="Times New Roman" w:cs="Times New Roman"/>
          <w:sz w:val="24"/>
          <w:szCs w:val="24"/>
          <w:lang w:val="en-US"/>
        </w:rPr>
        <w:t>71 J/kg</w:t>
      </w:r>
      <w:r w:rsidR="007E179B" w:rsidRPr="007E179B">
        <w:rPr>
          <w:rFonts w:ascii="Times New Roman" w:eastAsia="Calibri" w:hAnsi="Times New Roman" w:cs="Times New Roman"/>
          <w:sz w:val="24"/>
          <w:szCs w:val="24"/>
          <w:vertAlign w:val="superscript"/>
          <w:lang w:val="en-US"/>
        </w:rPr>
        <w:t>−1</w:t>
      </w:r>
      <w:r w:rsidR="007E179B" w:rsidRPr="007E179B">
        <w:rPr>
          <w:rFonts w:ascii="Times New Roman" w:eastAsia="Calibri" w:hAnsi="Times New Roman" w:cs="Times New Roman"/>
          <w:sz w:val="24"/>
          <w:szCs w:val="24"/>
          <w:lang w:val="en-US"/>
        </w:rPr>
        <w:t>/min</w:t>
      </w:r>
      <w:r w:rsidR="007E179B" w:rsidRPr="007E179B">
        <w:rPr>
          <w:rFonts w:ascii="Times New Roman" w:eastAsia="Calibri" w:hAnsi="Times New Roman" w:cs="Times New Roman"/>
          <w:sz w:val="24"/>
          <w:szCs w:val="24"/>
          <w:vertAlign w:val="superscript"/>
          <w:lang w:val="en-US"/>
        </w:rPr>
        <w:t>−1</w:t>
      </w:r>
      <w:r w:rsidR="007E179B" w:rsidRPr="007E179B">
        <w:rPr>
          <w:rFonts w:ascii="Times New Roman" w:eastAsia="Calibri" w:hAnsi="Times New Roman" w:cs="Times New Roman"/>
          <w:sz w:val="24"/>
          <w:szCs w:val="24"/>
          <w:lang w:val="en-US"/>
        </w:rPr>
        <w:t xml:space="preserve"> or oxygen uptake of 3.5 ml/kg</w:t>
      </w:r>
      <w:r w:rsidR="007E179B" w:rsidRPr="007E179B">
        <w:rPr>
          <w:rFonts w:ascii="Times New Roman" w:eastAsia="Calibri" w:hAnsi="Times New Roman" w:cs="Times New Roman"/>
          <w:sz w:val="24"/>
          <w:szCs w:val="24"/>
          <w:vertAlign w:val="superscript"/>
          <w:lang w:val="en-US"/>
        </w:rPr>
        <w:t>−1</w:t>
      </w:r>
      <w:r w:rsidR="007E179B" w:rsidRPr="007E179B">
        <w:rPr>
          <w:rFonts w:ascii="Times New Roman" w:eastAsia="Calibri" w:hAnsi="Times New Roman" w:cs="Times New Roman"/>
          <w:sz w:val="24"/>
          <w:szCs w:val="24"/>
          <w:lang w:val="en-US"/>
        </w:rPr>
        <w:t>/min</w:t>
      </w:r>
      <w:r w:rsidR="007E179B" w:rsidRPr="007E179B">
        <w:rPr>
          <w:rFonts w:ascii="Times New Roman" w:eastAsia="Calibri" w:hAnsi="Times New Roman" w:cs="Times New Roman"/>
          <w:sz w:val="24"/>
          <w:szCs w:val="24"/>
          <w:vertAlign w:val="superscript"/>
          <w:lang w:val="en-US"/>
        </w:rPr>
        <w:t>−1</w:t>
      </w:r>
      <w:r w:rsidRPr="00B355C2">
        <w:rPr>
          <w:rFonts w:ascii="Times New Roman" w:eastAsia="Calibri" w:hAnsi="Times New Roman" w:cs="Times New Roman"/>
          <w:sz w:val="24"/>
          <w:szCs w:val="24"/>
          <w:lang w:val="en-US"/>
        </w:rPr>
        <w:t>. Moderate‐to‐vigorous PA (MVPA) included MPA</w:t>
      </w:r>
      <w:r>
        <w:rPr>
          <w:rFonts w:ascii="Times New Roman" w:eastAsia="Calibri" w:hAnsi="Times New Roman" w:cs="Times New Roman"/>
          <w:sz w:val="24"/>
          <w:szCs w:val="24"/>
          <w:lang w:val="en-US"/>
        </w:rPr>
        <w:t xml:space="preserve"> </w:t>
      </w:r>
      <w:r w:rsidRPr="00B355C2">
        <w:rPr>
          <w:rFonts w:ascii="Times New Roman" w:eastAsia="Calibri" w:hAnsi="Times New Roman" w:cs="Times New Roman"/>
          <w:sz w:val="24"/>
          <w:szCs w:val="24"/>
          <w:lang w:val="en-US"/>
        </w:rPr>
        <w:t>and VPA</w:t>
      </w:r>
      <w:r w:rsidR="00E5352F" w:rsidRPr="00EF6443">
        <w:rPr>
          <w:rFonts w:ascii="Times New Roman" w:eastAsia="Calibri" w:hAnsi="Times New Roman" w:cs="Times New Roman"/>
          <w:sz w:val="24"/>
          <w:szCs w:val="24"/>
          <w:lang w:val="en-US"/>
        </w:rPr>
        <w:t xml:space="preserve">. </w:t>
      </w:r>
    </w:p>
    <w:p w14:paraId="6CECC448" w14:textId="77777777" w:rsidR="00CA22E7" w:rsidRPr="005D6771" w:rsidRDefault="00CA22E7" w:rsidP="00CA22E7">
      <w:pPr>
        <w:keepNext/>
        <w:keepLines/>
        <w:spacing w:before="40" w:after="0" w:line="480" w:lineRule="auto"/>
        <w:outlineLvl w:val="1"/>
        <w:rPr>
          <w:rFonts w:ascii="Times New Roman" w:eastAsia="Times New Roman" w:hAnsi="Times New Roman" w:cs="Times New Roman"/>
          <w:b/>
          <w:sz w:val="24"/>
          <w:szCs w:val="24"/>
          <w:lang w:val="en-US"/>
        </w:rPr>
      </w:pPr>
      <w:r w:rsidRPr="005D6771">
        <w:rPr>
          <w:rFonts w:ascii="Times New Roman" w:eastAsia="Times New Roman" w:hAnsi="Times New Roman" w:cs="Times New Roman"/>
          <w:b/>
          <w:sz w:val="24"/>
          <w:szCs w:val="24"/>
          <w:lang w:val="en-US"/>
        </w:rPr>
        <w:t>Assessment of body size and composition</w:t>
      </w:r>
      <w:r w:rsidRPr="005D6771">
        <w:rPr>
          <w:rFonts w:ascii="Times New Roman" w:eastAsia="Times New Roman" w:hAnsi="Times New Roman" w:cs="Times New Roman"/>
          <w:b/>
          <w:sz w:val="24"/>
          <w:szCs w:val="24"/>
          <w:lang w:val="en-US"/>
        </w:rPr>
        <w:tab/>
      </w:r>
    </w:p>
    <w:p w14:paraId="07AB7450" w14:textId="5B2439B6" w:rsidR="00CA22E7" w:rsidRPr="005D6771" w:rsidRDefault="00CA22E7" w:rsidP="00DC77FD">
      <w:pPr>
        <w:spacing w:after="120" w:line="480" w:lineRule="auto"/>
        <w:rPr>
          <w:rFonts w:ascii="Times New Roman" w:eastAsia="Calibri" w:hAnsi="Times New Roman" w:cs="Times New Roman"/>
          <w:sz w:val="24"/>
          <w:szCs w:val="24"/>
          <w:lang w:val="en-GB"/>
        </w:rPr>
      </w:pPr>
      <w:r w:rsidRPr="005D6771">
        <w:rPr>
          <w:rFonts w:ascii="Times New Roman" w:eastAsia="Calibri" w:hAnsi="Times New Roman" w:cs="Times New Roman"/>
          <w:sz w:val="24"/>
          <w:szCs w:val="24"/>
          <w:lang w:val="en-GB"/>
        </w:rPr>
        <w:t xml:space="preserve">Body weight was measured twice with the children having fasted for 12 hours, emptied the bladder, and standing in light underwear using a weight scale integrated into a calibrated </w:t>
      </w:r>
      <w:proofErr w:type="spellStart"/>
      <w:r w:rsidRPr="005D6771">
        <w:rPr>
          <w:rFonts w:ascii="Times New Roman" w:eastAsia="Calibri" w:hAnsi="Times New Roman" w:cs="Times New Roman"/>
          <w:sz w:val="24"/>
          <w:szCs w:val="24"/>
          <w:lang w:val="en-GB"/>
        </w:rPr>
        <w:t>InBody</w:t>
      </w:r>
      <w:proofErr w:type="spellEnd"/>
      <w:r w:rsidRPr="005D6771">
        <w:rPr>
          <w:rFonts w:ascii="Times New Roman" w:eastAsia="Calibri" w:hAnsi="Times New Roman" w:cs="Times New Roman"/>
          <w:sz w:val="24"/>
          <w:szCs w:val="24"/>
          <w:lang w:val="en-GB"/>
        </w:rPr>
        <w:t>® 720 bioelectrical impedance device (</w:t>
      </w:r>
      <w:proofErr w:type="spellStart"/>
      <w:r w:rsidRPr="005D6771">
        <w:rPr>
          <w:rFonts w:ascii="Times New Roman" w:eastAsia="Calibri" w:hAnsi="Times New Roman" w:cs="Times New Roman"/>
          <w:sz w:val="24"/>
          <w:szCs w:val="24"/>
          <w:lang w:val="en-GB"/>
        </w:rPr>
        <w:t>Biospace</w:t>
      </w:r>
      <w:proofErr w:type="spellEnd"/>
      <w:r w:rsidRPr="005D6771">
        <w:rPr>
          <w:rFonts w:ascii="Times New Roman" w:eastAsia="Calibri" w:hAnsi="Times New Roman" w:cs="Times New Roman"/>
          <w:sz w:val="24"/>
          <w:szCs w:val="24"/>
          <w:lang w:val="en-GB"/>
        </w:rPr>
        <w:t>, Seoul, South Korea) to an accuracy of 0.1 kg. The mean of these two values was used in the analyses. Body height was measured three times with the children standing in the Frankfurt plane without shoes using a wall-mounted stadiometer to an accuracy of 0.1 cm. The mean of the nearest two values was used in the analyses. BMI was calculated by dividing weight (kg) by height (m) squared. The prevalence of overweight and obesity was defined using the cut-off values provided by Cole and co-workers</w:t>
      </w:r>
      <w:r w:rsidRPr="005D6771">
        <w:rPr>
          <w:rFonts w:ascii="Times New Roman" w:eastAsia="Calibri" w:hAnsi="Times New Roman" w:cs="Times New Roman"/>
          <w:sz w:val="24"/>
          <w:szCs w:val="24"/>
          <w:lang w:val="en-GB"/>
        </w:rPr>
        <w:fldChar w:fldCharType="begin"/>
      </w:r>
      <w:r w:rsidR="00E5352F">
        <w:rPr>
          <w:rFonts w:ascii="Times New Roman" w:eastAsia="Calibri" w:hAnsi="Times New Roman" w:cs="Times New Roman"/>
          <w:sz w:val="24"/>
          <w:szCs w:val="24"/>
          <w:lang w:val="en-GB"/>
        </w:rPr>
        <w:instrText xml:space="preserve"> ADDIN ZOTERO_ITEM CSL_CITATION {"citationID":"YcqvIVrK","properties":{"formattedCitation":"\\super 6\\nosupersub{}","plainCitation":"6","noteIndex":0},"citationItems":[{"id":543,"uris":["http://zotero.org/users/5849913/items/FZZSPCFZ"],"itemData":{"id":543,"type":"article-journal","abstract":"Objective: To develop an internationally acceptable definition of child overweight and obesity, specifying the measurement, the reference population, and the age and sex specific cut off points.\nDesign: International survey of six large nationally representative cross sectional growth studies.\nSetting: Brazil, Great Britain, Hong Kong, the Netherlands, Singapore, and the United States\nSubjects: 97 876 males and 94 851 females from birth to 25 years of age\nMain outcome measure: Body mass index (weight/height2).\nResults: For each of the surveys, centile curves were drawn that at age 18 years passed through the widely used cut off points of 25 and 30 kg/m2 for adult overweight and obesity. The resulting curves were averaged to provide age and sex specific cut off points from 2-18 years.\nConclusions: The proposed cut off points, which are less arbitrary and more internationally based than current alternatives, should help to provide internationally comparable prevalence rates of overweight and obesity in children.","container-title":"BMJ","DOI":"10.1136/bmj.320.7244.1240","ISSN":"0959-8138, 1468-5833","issue":"7244","journalAbbreviation":"BMJ","language":"en","license":"© 2000 BMJ Publishing Group Ltd.","note":"publisher: British Medical Journal Publishing Group\nsection: Paper\nPMID: 10797032","page":"1240","source":"www.bmj.com","title":"Establishing a standard definition for child overweight and obesity worldwide: international survey","title-short":"Establishing a standard definition for child overweight and obesity worldwide","volume":"320","author":[{"family":"Cole","given":"Tim J."},{"family":"Bellizzi","given":"Mary C."},{"family":"Flegal","given":"Katherine M."},{"family":"Dietz","given":"William H."}],"issued":{"date-parts":[["2000",5,6]]}}}],"schema":"https://github.com/citation-style-language/schema/raw/master/csl-citation.json"} </w:instrText>
      </w:r>
      <w:r w:rsidRPr="005D6771">
        <w:rPr>
          <w:rFonts w:ascii="Times New Roman" w:eastAsia="Calibri" w:hAnsi="Times New Roman" w:cs="Times New Roman"/>
          <w:sz w:val="24"/>
          <w:szCs w:val="24"/>
          <w:lang w:val="en-GB"/>
        </w:rPr>
        <w:fldChar w:fldCharType="separate"/>
      </w:r>
      <w:r w:rsidR="00E5352F" w:rsidRPr="00E5352F">
        <w:rPr>
          <w:rFonts w:ascii="Times New Roman" w:hAnsi="Times New Roman" w:cs="Times New Roman"/>
          <w:sz w:val="24"/>
          <w:szCs w:val="24"/>
          <w:vertAlign w:val="superscript"/>
          <w:lang w:val="en-US"/>
        </w:rPr>
        <w:t>6</w:t>
      </w:r>
      <w:r w:rsidRPr="005D6771">
        <w:rPr>
          <w:rFonts w:ascii="Times New Roman" w:eastAsia="Calibri" w:hAnsi="Times New Roman" w:cs="Times New Roman"/>
          <w:sz w:val="24"/>
          <w:szCs w:val="24"/>
          <w:lang w:val="en-US"/>
        </w:rPr>
        <w:fldChar w:fldCharType="end"/>
      </w:r>
      <w:r w:rsidRPr="005D6771">
        <w:rPr>
          <w:rFonts w:ascii="Times New Roman" w:eastAsia="Calibri" w:hAnsi="Times New Roman" w:cs="Times New Roman"/>
          <w:sz w:val="24"/>
          <w:szCs w:val="24"/>
          <w:lang w:val="en-GB"/>
        </w:rPr>
        <w:t>. Body fat percentage (BF%) was measured by the Lunar® DXA device (GE Medical Systems, Madison, WI, USA) using a standardized protocol</w:t>
      </w:r>
      <w:r w:rsidRPr="005D6771">
        <w:rPr>
          <w:rFonts w:ascii="Times New Roman" w:eastAsia="Calibri" w:hAnsi="Times New Roman" w:cs="Times New Roman"/>
          <w:sz w:val="24"/>
          <w:szCs w:val="24"/>
          <w:lang w:val="en-GB"/>
        </w:rPr>
        <w:fldChar w:fldCharType="begin"/>
      </w:r>
      <w:r w:rsidR="00E5352F">
        <w:rPr>
          <w:rFonts w:ascii="Times New Roman" w:eastAsia="Calibri" w:hAnsi="Times New Roman" w:cs="Times New Roman"/>
          <w:sz w:val="24"/>
          <w:szCs w:val="24"/>
          <w:lang w:val="en-GB"/>
        </w:rPr>
        <w:instrText xml:space="preserve"> ADDIN ZOTERO_ITEM CSL_CITATION {"citationID":"41tEfd9d","properties":{"formattedCitation":"\\super 7\\nosupersub{}","plainCitation":"7","noteIndex":0},"citationItems":[{"id":626,"uris":["http://zotero.org/users/5849913/items/N8J4CWAA"],"itemData":{"id":626,"type":"article-journal","abstract":"Objective and methods We compared InBody720 segmental multifrequency bioimpedance analysis (SMF-BIA) with Lunar Prodigy Advance dual-energy X-ray absorptiometry (DXA) in assessment of body composition among 178 predominantly prepubertal children. Segmental agreement analysis of body compartments was carried out, and inter-relationships of anthropometric and other measures of body composition were defined. Moreover, the relations of different reference criteria for excess body fat were evaluated. Results The prevalence of excess body fat varies greatly according to the used criteria. Intraclass and Pearson's correlations between SMF-BIA and DXA were &gt;0·92 in total body and &gt;0·74 in regional measures. SMF-BIA underestimated percentage body fat (%BF) and fat mass (FM), and overestimated lean mass (LM) and percentage LM with significant offset trend bias. Higher adiposity increased offsets, and overall agreement was poorer in girls. On average, %BF offsets (girls/boys) and limits of agreement (LA) were 3·9/1·6% [(−)1·4–9·2%/(−)3·4–6·7%]. Interestingly percentage offsets of fat content (%BF: 18·9/10·1%, FM: 18·8/11·1%) showed no significant bias trends indicating that the corresponding absolute methodological offset depends on the amount of fat content. The smallest percentage offset was found with LM: 4·3/0·1%, referring offset (LA) of 0·88/0·03 kg (±2·05/±1·71 kg). Correspondingly, segmental LM had poorer agreement than total body LM. All anthropometrics except for the waist-to-hip ratio showed strong correlations (r = 0·76–0·95) with abdominal and total body fat. Conclusion Segmental multifrequency bioimpedance analysis is precise enough for total-LM analysis and had also sufficient trueness for total body composition analysis to be used in epidemiological purposes. There is need to generate scientifically and clinically relevant criteria and reference values for excess body fat.","container-title":"Clinical Physiology and Functional Imaging","DOI":"10.1111/cpf.12118","ISSN":"1475-097X","issue":"1","language":"en","license":"© 2013 Scandinavian Society of Clinical Physiology and Nuclear Medicine. Published by John Wiley &amp; Sons Ltd","note":"_eprint: https://onlinelibrary.wiley.com/doi/pdf/10.1111/cpf.12118","page":"21-33","source":"Wiley Online Library","title":"Assessment of body composition by dual-energy X-ray absorptiometry, bioimpedance analysis and anthropometrics in children: the Physical Activity and Nutrition in Children study","title-short":"Assessment of body composition by dual-energy X-ray absorptiometry, bioimpedance analysis and anthropometrics in children","volume":"35","author":[{"family":"Tompuri","given":"Tuomo T."},{"family":"Lakka","given":"Timo A."},{"family":"Hakulinen","given":"Mikko"},{"family":"Lindi","given":"Virpi"},{"family":"Laaksonen","given":"David E."},{"family":"Kilpeläinen","given":"Tuomas O."},{"family":"Jääskeläinen","given":"Jarmo"},{"family":"Lakka","given":"Hanna-Maaria"},{"family":"Laitinen","given":"Tomi"}],"issued":{"date-parts":[["2015"]]}}}],"schema":"https://github.com/citation-style-language/schema/raw/master/csl-citation.json"} </w:instrText>
      </w:r>
      <w:r w:rsidRPr="005D6771">
        <w:rPr>
          <w:rFonts w:ascii="Times New Roman" w:eastAsia="Calibri" w:hAnsi="Times New Roman" w:cs="Times New Roman"/>
          <w:sz w:val="24"/>
          <w:szCs w:val="24"/>
          <w:lang w:val="en-GB"/>
        </w:rPr>
        <w:fldChar w:fldCharType="separate"/>
      </w:r>
      <w:r w:rsidR="00E5352F" w:rsidRPr="00EF6443">
        <w:rPr>
          <w:rFonts w:ascii="Times New Roman" w:hAnsi="Times New Roman" w:cs="Times New Roman"/>
          <w:sz w:val="24"/>
          <w:szCs w:val="24"/>
          <w:vertAlign w:val="superscript"/>
          <w:lang w:val="en-US"/>
        </w:rPr>
        <w:t>7</w:t>
      </w:r>
      <w:r w:rsidRPr="005D6771">
        <w:rPr>
          <w:rFonts w:ascii="Times New Roman" w:eastAsia="Calibri" w:hAnsi="Times New Roman" w:cs="Times New Roman"/>
          <w:sz w:val="24"/>
          <w:szCs w:val="24"/>
          <w:lang w:val="en-US"/>
        </w:rPr>
        <w:fldChar w:fldCharType="end"/>
      </w:r>
      <w:r w:rsidRPr="005D6771">
        <w:rPr>
          <w:rFonts w:ascii="Times New Roman" w:eastAsia="Calibri" w:hAnsi="Times New Roman" w:cs="Times New Roman"/>
          <w:sz w:val="24"/>
          <w:szCs w:val="24"/>
          <w:lang w:val="en-GB"/>
        </w:rPr>
        <w:t>.</w:t>
      </w:r>
    </w:p>
    <w:p w14:paraId="5799D729" w14:textId="77777777" w:rsidR="00CA22E7" w:rsidRPr="005D6771" w:rsidRDefault="00CA22E7" w:rsidP="00CA22E7">
      <w:pPr>
        <w:keepNext/>
        <w:keepLines/>
        <w:spacing w:after="0" w:line="480" w:lineRule="auto"/>
        <w:outlineLvl w:val="1"/>
        <w:rPr>
          <w:rFonts w:ascii="Times New Roman" w:eastAsia="Times New Roman" w:hAnsi="Times New Roman" w:cs="Times New Roman"/>
          <w:b/>
          <w:sz w:val="24"/>
          <w:szCs w:val="24"/>
          <w:lang w:val="en-US"/>
        </w:rPr>
      </w:pPr>
      <w:r w:rsidRPr="005D6771">
        <w:rPr>
          <w:rFonts w:ascii="Times New Roman" w:eastAsia="Times New Roman" w:hAnsi="Times New Roman" w:cs="Times New Roman"/>
          <w:b/>
          <w:sz w:val="24"/>
          <w:szCs w:val="24"/>
          <w:lang w:val="en-US"/>
        </w:rPr>
        <w:lastRenderedPageBreak/>
        <w:t>Other assessments</w:t>
      </w:r>
    </w:p>
    <w:p w14:paraId="763C2414" w14:textId="613BDAA2" w:rsidR="00CA22E7" w:rsidRDefault="00CA22E7" w:rsidP="005D6771">
      <w:pPr>
        <w:spacing w:after="0" w:line="480" w:lineRule="auto"/>
        <w:rPr>
          <w:rFonts w:ascii="Times New Roman" w:eastAsia="Calibri" w:hAnsi="Times New Roman" w:cs="Times New Roman"/>
          <w:sz w:val="24"/>
          <w:szCs w:val="24"/>
          <w:lang w:val="en-US"/>
        </w:rPr>
      </w:pPr>
      <w:r w:rsidRPr="005D6771">
        <w:rPr>
          <w:rFonts w:ascii="Times New Roman" w:eastAsia="Calibri" w:hAnsi="Times New Roman" w:cs="Times New Roman"/>
          <w:sz w:val="24"/>
          <w:szCs w:val="24"/>
          <w:lang w:val="en-US"/>
        </w:rPr>
        <w:t>The parents were asked to report in a questionnaire their annual household income (categorized as ≤ 30 000 €, 30 001–60 000 €, and ≥ 60 001 €) and completed or ongoing educational</w:t>
      </w:r>
      <w:r w:rsidR="005D6771">
        <w:rPr>
          <w:rFonts w:ascii="Times New Roman" w:eastAsia="Calibri" w:hAnsi="Times New Roman" w:cs="Times New Roman"/>
          <w:sz w:val="24"/>
          <w:szCs w:val="24"/>
          <w:lang w:val="en-US"/>
        </w:rPr>
        <w:t xml:space="preserve"> </w:t>
      </w:r>
      <w:r w:rsidRPr="005D6771">
        <w:rPr>
          <w:rFonts w:ascii="Times New Roman" w:eastAsia="Calibri" w:hAnsi="Times New Roman" w:cs="Times New Roman"/>
          <w:sz w:val="24"/>
          <w:szCs w:val="24"/>
          <w:lang w:val="en-US"/>
        </w:rPr>
        <w:t>degrees (categorized as vocational school or less, polytechnic, and university). The degree of the more educated parent was used in the analyses. A research physician assessed pubertal status according to breast development for girls (scored M 1–5) and according to testicular volume measured by an orchidometer for boys (scored G 1–5) using the staging method described by Tanner</w:t>
      </w:r>
      <w:r w:rsidRPr="005D6771">
        <w:rPr>
          <w:rFonts w:ascii="Times New Roman" w:eastAsia="Calibri" w:hAnsi="Times New Roman" w:cs="Times New Roman"/>
          <w:sz w:val="24"/>
          <w:szCs w:val="24"/>
          <w:lang w:val="en-US"/>
        </w:rPr>
        <w:fldChar w:fldCharType="begin"/>
      </w:r>
      <w:r w:rsidR="00E5352F">
        <w:rPr>
          <w:rFonts w:ascii="Times New Roman" w:eastAsia="Calibri" w:hAnsi="Times New Roman" w:cs="Times New Roman"/>
          <w:sz w:val="24"/>
          <w:szCs w:val="24"/>
          <w:lang w:val="en-US"/>
        </w:rPr>
        <w:instrText xml:space="preserve"> ADDIN ZOTERO_ITEM CSL_CITATION {"citationID":"A79iQJAL","properties":{"formattedCitation":"\\super 8,9\\nosupersub{}","plainCitation":"8,9","noteIndex":0},"citationItems":[{"id":457,"uris":["http://zotero.org/users/5849913/items/9S8NXEXJ"],"itemData":{"id":457,"type":"article-journal","abstract":"Mixed longitudinal data on the physical changes at puberty in 228 normal boys are presented together with normal standards for stages of genital and pubic hair development., The genitalia began to develop between the ages 9½ years and 13½ years in 95% of boys (mean = 11.6 ± 0.09) and reached maturity at ages varying between 13 and 17 (mean = 14.9 ± 1.10). The age at which pubic hair first appeared was not accurately determined, but its development through the later stages was studied. It reached the equivalent of an adult female distribution at a mean age of 15.2 ± 0.01 years., On average the genitalia reached the adult stage 3.0 years after they first began to develop; but some boys completed this development in as little as 1.8 years while others took as much as 4.7 years. Some boys complete the whole process in less time than others take to go from Stage G2 to Stage G3. The genitalia begin to develop before pubic hair is visible in photographs in practically all boys., The 41 boys in whom it could be studied reached their maximum rate of growth (peak height velocity) at a mean age of 14.1 ± 0.14 years., Very few boys (about 5%) reached peak height velocity before their genitalia were in Stage 4 and over 20% did not do so until their genitalia were adult. Peak height velocity is reached, on the average, nearly 2 years later in boys than in girls, but the boys' genitalia begin to develop only about 6 months later than the girls' breasts. Pubic hair appears about 1½ years later in boys than in girls.","container-title":"Archives of Disease in Childhood","ISSN":"0003-9888","issue":"239","journalAbbreviation":"Arch Dis Child","note":"PMID: 5440182\nPMCID: PMC2020414","page":"13-23","source":"PubMed Central","title":"Variations in the Pattern of Pubertal Changes in Boys","volume":"45","author":[{"family":"Marshall","given":"W. A."},{"family":"Tanner","given":"J. M."}],"issued":{"date-parts":[["1970",2]]}}},{"id":458,"uris":["http://zotero.org/users/5849913/items/CNILAV6W"],"itemData":{"id":458,"type":"article-journal","abstract":"Images\nnull","container-title":"Archives of Disease in Childhood","ISSN":"0003-9888","issue":"235","journalAbbreviation":"Arch Dis Child","note":"PMID: 5785179\nPMCID: PMC2020314","page":"291-303","source":"PubMed Central","title":"Variations in pattern of pubertal changes in girls.","volume":"44","author":[{"family":"Marshall","given":"W. A."},{"family":"Tanner","given":"J. M."}],"issued":{"date-parts":[["1969",6]]}}}],"schema":"https://github.com/citation-style-language/schema/raw/master/csl-citation.json"} </w:instrText>
      </w:r>
      <w:r w:rsidRPr="005D6771">
        <w:rPr>
          <w:rFonts w:ascii="Times New Roman" w:eastAsia="Calibri" w:hAnsi="Times New Roman" w:cs="Times New Roman"/>
          <w:sz w:val="24"/>
          <w:szCs w:val="24"/>
          <w:lang w:val="en-US"/>
        </w:rPr>
        <w:fldChar w:fldCharType="separate"/>
      </w:r>
      <w:r w:rsidR="00E5352F" w:rsidRPr="00EF6443">
        <w:rPr>
          <w:rFonts w:ascii="Times New Roman" w:hAnsi="Times New Roman" w:cs="Times New Roman"/>
          <w:sz w:val="24"/>
          <w:szCs w:val="24"/>
          <w:vertAlign w:val="superscript"/>
          <w:lang w:val="en-US"/>
        </w:rPr>
        <w:t>8,9</w:t>
      </w:r>
      <w:r w:rsidRPr="005D6771">
        <w:rPr>
          <w:rFonts w:ascii="Times New Roman" w:eastAsia="Calibri" w:hAnsi="Times New Roman" w:cs="Times New Roman"/>
          <w:sz w:val="24"/>
          <w:szCs w:val="24"/>
          <w:lang w:val="en-US"/>
        </w:rPr>
        <w:fldChar w:fldCharType="end"/>
      </w:r>
      <w:r w:rsidRPr="005D6771">
        <w:rPr>
          <w:rFonts w:ascii="Times New Roman" w:eastAsia="Calibri" w:hAnsi="Times New Roman" w:cs="Times New Roman"/>
          <w:sz w:val="24"/>
          <w:szCs w:val="24"/>
          <w:lang w:val="en-US"/>
        </w:rPr>
        <w:t xml:space="preserve">. </w:t>
      </w:r>
    </w:p>
    <w:p w14:paraId="06FA6764" w14:textId="77777777" w:rsidR="001F7513" w:rsidRDefault="001F7513" w:rsidP="005D6771">
      <w:pPr>
        <w:spacing w:after="0" w:line="480" w:lineRule="auto"/>
        <w:rPr>
          <w:rFonts w:ascii="Times New Roman" w:eastAsia="Calibri" w:hAnsi="Times New Roman" w:cs="Times New Roman"/>
          <w:sz w:val="24"/>
          <w:szCs w:val="24"/>
          <w:lang w:val="en-US"/>
        </w:rPr>
      </w:pPr>
    </w:p>
    <w:p w14:paraId="008DA115" w14:textId="77777777" w:rsidR="001F7513" w:rsidRDefault="001F7513" w:rsidP="001F7513">
      <w:pPr>
        <w:spacing w:after="120" w:line="480" w:lineRule="auto"/>
        <w:rPr>
          <w:rFonts w:ascii="Times New Roman" w:eastAsia="Calibri" w:hAnsi="Times New Roman" w:cs="Times New Roman"/>
          <w:sz w:val="24"/>
          <w:szCs w:val="24"/>
          <w:lang w:val="en-GB"/>
        </w:rPr>
      </w:pPr>
      <w:r>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20E1BAB6" wp14:editId="0EC49590">
            <wp:simplePos x="0" y="0"/>
            <wp:positionH relativeFrom="column">
              <wp:posOffset>358482</wp:posOffset>
            </wp:positionH>
            <wp:positionV relativeFrom="paragraph">
              <wp:posOffset>7278</wp:posOffset>
            </wp:positionV>
            <wp:extent cx="5619940" cy="2075815"/>
            <wp:effectExtent l="0" t="0" r="0" b="0"/>
            <wp:wrapNone/>
            <wp:docPr id="1" name="Picture 1" descr="A black background with a blu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ue squar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326"/>
                    <a:stretch/>
                  </pic:blipFill>
                  <pic:spPr bwMode="auto">
                    <a:xfrm>
                      <a:off x="0" y="0"/>
                      <a:ext cx="5619940" cy="2075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46954C1" w14:textId="77777777" w:rsidR="001F7513" w:rsidRDefault="001F7513" w:rsidP="001F7513">
      <w:pPr>
        <w:spacing w:after="120" w:line="480" w:lineRule="auto"/>
        <w:rPr>
          <w:rFonts w:ascii="Times New Roman" w:eastAsia="Calibri" w:hAnsi="Times New Roman" w:cs="Times New Roman"/>
          <w:sz w:val="24"/>
          <w:szCs w:val="24"/>
          <w:lang w:val="en-GB"/>
        </w:rPr>
      </w:pPr>
    </w:p>
    <w:p w14:paraId="67E55DCF" w14:textId="77777777" w:rsidR="001F7513" w:rsidRDefault="001F7513" w:rsidP="001F7513">
      <w:pPr>
        <w:spacing w:after="120" w:line="480" w:lineRule="auto"/>
        <w:rPr>
          <w:rFonts w:ascii="Times New Roman" w:eastAsia="Calibri" w:hAnsi="Times New Roman" w:cs="Times New Roman"/>
          <w:sz w:val="24"/>
          <w:szCs w:val="24"/>
          <w:lang w:val="en-GB"/>
        </w:rPr>
      </w:pPr>
    </w:p>
    <w:p w14:paraId="654CB081" w14:textId="77777777" w:rsidR="001F7513" w:rsidRDefault="001F7513" w:rsidP="001F7513">
      <w:pPr>
        <w:spacing w:after="120" w:line="480" w:lineRule="auto"/>
        <w:rPr>
          <w:rFonts w:ascii="Times New Roman" w:eastAsia="Calibri" w:hAnsi="Times New Roman" w:cs="Times New Roman"/>
          <w:sz w:val="24"/>
          <w:szCs w:val="24"/>
          <w:lang w:val="en-GB"/>
        </w:rPr>
      </w:pPr>
    </w:p>
    <w:p w14:paraId="4A1C2AB1" w14:textId="77777777" w:rsidR="001F7513" w:rsidRDefault="001F7513" w:rsidP="001F7513">
      <w:pPr>
        <w:spacing w:after="120" w:line="480" w:lineRule="auto"/>
        <w:rPr>
          <w:rFonts w:ascii="Times New Roman" w:eastAsia="Calibri" w:hAnsi="Times New Roman" w:cs="Times New Roman"/>
          <w:sz w:val="24"/>
          <w:szCs w:val="24"/>
          <w:lang w:val="en-GB"/>
        </w:rPr>
      </w:pPr>
    </w:p>
    <w:p w14:paraId="359E9C5F" w14:textId="2674543B" w:rsidR="001F7513" w:rsidRPr="00EF6443" w:rsidRDefault="001F7513" w:rsidP="001F7513">
      <w:pPr>
        <w:spacing w:after="120" w:line="480" w:lineRule="auto"/>
        <w:rPr>
          <w:rFonts w:ascii="Times New Roman" w:eastAsia="Calibri" w:hAnsi="Times New Roman" w:cs="Times New Roman"/>
          <w:sz w:val="24"/>
          <w:szCs w:val="24"/>
          <w:lang w:val="en-US"/>
        </w:rPr>
      </w:pPr>
      <w:r w:rsidRPr="00EF6443">
        <w:rPr>
          <w:rFonts w:ascii="Times New Roman" w:eastAsia="Calibri" w:hAnsi="Times New Roman" w:cs="Times New Roman"/>
          <w:sz w:val="24"/>
          <w:szCs w:val="24"/>
          <w:lang w:val="en-US"/>
        </w:rPr>
        <w:t>Supplemental Figure. Schematic illustration of the main time points of the study. Diet quality, physical activity, and cognition were assessed at baseline (0 months) and the 2-year follow-up (24 months). The dietary and physical activity counseling sessions occurred at 0.5, 1.5, 3, 6, 12, and 18 months after baseline.</w:t>
      </w:r>
    </w:p>
    <w:p w14:paraId="6E31A4BD" w14:textId="77777777" w:rsidR="001F7513" w:rsidRPr="005D6771" w:rsidRDefault="001F7513" w:rsidP="005D6771">
      <w:pPr>
        <w:spacing w:after="0" w:line="480" w:lineRule="auto"/>
        <w:rPr>
          <w:rFonts w:ascii="Times New Roman" w:eastAsia="Calibri" w:hAnsi="Times New Roman" w:cs="Times New Roman"/>
          <w:sz w:val="24"/>
          <w:szCs w:val="24"/>
          <w:lang w:val="en-US"/>
        </w:rPr>
      </w:pPr>
    </w:p>
    <w:p w14:paraId="2B28C3CB" w14:textId="29E2A0B6" w:rsidR="00B73697" w:rsidRPr="005D6771" w:rsidRDefault="00B73697" w:rsidP="00B73697">
      <w:pPr>
        <w:keepNext/>
        <w:keepLines/>
        <w:spacing w:after="0" w:line="480" w:lineRule="auto"/>
        <w:outlineLvl w:val="0"/>
        <w:rPr>
          <w:rFonts w:ascii="Times New Roman" w:eastAsia="Times New Roman" w:hAnsi="Times New Roman" w:cs="Times New Roman"/>
          <w:b/>
          <w:sz w:val="24"/>
          <w:szCs w:val="24"/>
          <w:lang w:val="en-US"/>
        </w:rPr>
      </w:pPr>
      <w:r w:rsidRPr="005D6771">
        <w:rPr>
          <w:rFonts w:ascii="Times New Roman" w:eastAsia="Times New Roman" w:hAnsi="Times New Roman" w:cs="Times New Roman"/>
          <w:b/>
          <w:sz w:val="24"/>
          <w:szCs w:val="24"/>
          <w:lang w:val="en-US"/>
        </w:rPr>
        <w:t>STATISTICAL METHODS</w:t>
      </w:r>
    </w:p>
    <w:p w14:paraId="592670CF" w14:textId="139906F9" w:rsidR="00B73697" w:rsidRPr="005D6771" w:rsidRDefault="00B73697" w:rsidP="00DC77FD">
      <w:pPr>
        <w:spacing w:after="120" w:line="480" w:lineRule="auto"/>
        <w:rPr>
          <w:rFonts w:ascii="Times New Roman" w:eastAsia="Calibri" w:hAnsi="Times New Roman" w:cs="Times New Roman"/>
          <w:sz w:val="24"/>
          <w:szCs w:val="24"/>
          <w:lang w:val="en-US"/>
        </w:rPr>
      </w:pPr>
      <w:r w:rsidRPr="005D6771">
        <w:rPr>
          <w:rFonts w:ascii="Times New Roman" w:eastAsia="Calibri" w:hAnsi="Times New Roman" w:cs="Times New Roman"/>
          <w:sz w:val="24"/>
          <w:szCs w:val="24"/>
          <w:lang w:val="en-US"/>
        </w:rPr>
        <w:t xml:space="preserve">Statistical analyses were performed using the IBM SPSS statistics for Windows, version 25.0 (IBM Corporation, Armonk, NY, USA). In all analyses, </w:t>
      </w:r>
      <w:proofErr w:type="gramStart"/>
      <w:r w:rsidRPr="005D6771">
        <w:rPr>
          <w:rFonts w:ascii="Times New Roman" w:eastAsia="Calibri" w:hAnsi="Times New Roman" w:cs="Times New Roman"/>
          <w:sz w:val="24"/>
          <w:szCs w:val="24"/>
          <w:lang w:val="en-US"/>
        </w:rPr>
        <w:t>differences</w:t>
      </w:r>
      <w:proofErr w:type="gramEnd"/>
      <w:r w:rsidRPr="005D6771">
        <w:rPr>
          <w:rFonts w:ascii="Times New Roman" w:eastAsia="Calibri" w:hAnsi="Times New Roman" w:cs="Times New Roman"/>
          <w:sz w:val="24"/>
          <w:szCs w:val="24"/>
          <w:lang w:val="en-US"/>
        </w:rPr>
        <w:t xml:space="preserve"> and associations with P-values &lt;0.05 are considered statistically significant. Basic characteristics between boys and </w:t>
      </w:r>
      <w:r w:rsidRPr="005D6771">
        <w:rPr>
          <w:rFonts w:ascii="Times New Roman" w:eastAsia="Calibri" w:hAnsi="Times New Roman" w:cs="Times New Roman"/>
          <w:sz w:val="24"/>
          <w:szCs w:val="24"/>
          <w:lang w:val="en-US"/>
        </w:rPr>
        <w:lastRenderedPageBreak/>
        <w:t xml:space="preserve">girls were compared using the </w:t>
      </w:r>
      <w:proofErr w:type="gramStart"/>
      <w:r w:rsidRPr="005D6771">
        <w:rPr>
          <w:rFonts w:ascii="Times New Roman" w:eastAsia="Calibri" w:hAnsi="Times New Roman" w:cs="Times New Roman"/>
          <w:sz w:val="24"/>
          <w:szCs w:val="24"/>
          <w:lang w:val="en-US"/>
        </w:rPr>
        <w:t>Student</w:t>
      </w:r>
      <w:proofErr w:type="gramEnd"/>
      <w:r w:rsidRPr="005D6771">
        <w:rPr>
          <w:rFonts w:ascii="Times New Roman" w:eastAsia="Calibri" w:hAnsi="Times New Roman" w:cs="Times New Roman"/>
          <w:sz w:val="24"/>
          <w:szCs w:val="24"/>
          <w:lang w:val="en-US"/>
        </w:rPr>
        <w:t xml:space="preserve">´s t-test for continuous variables and the Chi-Square test for categorical variables. </w:t>
      </w:r>
    </w:p>
    <w:p w14:paraId="6D2FC1B7" w14:textId="5A5880F9" w:rsidR="00B73697" w:rsidRPr="005D6771" w:rsidRDefault="00B73697" w:rsidP="00DC77FD">
      <w:pPr>
        <w:spacing w:after="120" w:line="480" w:lineRule="auto"/>
        <w:rPr>
          <w:rFonts w:ascii="Times New Roman" w:eastAsia="Calibri" w:hAnsi="Times New Roman" w:cs="Times New Roman"/>
          <w:sz w:val="24"/>
          <w:szCs w:val="24"/>
          <w:lang w:val="en-US"/>
        </w:rPr>
      </w:pPr>
      <w:r w:rsidRPr="005D6771">
        <w:rPr>
          <w:rFonts w:ascii="Times New Roman" w:eastAsia="Calibri" w:hAnsi="Times New Roman" w:cs="Times New Roman"/>
          <w:sz w:val="24"/>
          <w:szCs w:val="24"/>
          <w:lang w:val="en-US"/>
        </w:rPr>
        <w:t>The effects of the intervention on the RCPM score and the longitudinal associations of total BSDS and BSDS components, including red meat and sausages, fruit and berries, vegetables, high-fiber (≥5 %) grain products, fish, PUFA-SFA ratio, total fat, and milk (&lt;1% fat), TPA,  LPA, MVPA, VPA, ST, media time (screen time), reading time, writing time, and computer use time with the RCPM score were analyzed using linear mixed-effects models. We used the Bayesian information criterion (BIC) as a measure of model adequacy, a lower BIC value indicating a better model with a better balance between complexity and good fit. We predetermined the model with the lowest BIC as our final model for a given outcome. That is, we did not force the more complex data structure to our model if it did not improve the model fit. First, the clustering effect of individuals and schools were ruled out using the mixed-effects model analyses four times: one model without random factors, one model with only subject as a random factor, one model with only school as a random factor, and one model with both subject and school as random factors on different pages. The analyses showed no clustering effect of individuals and schools. These variables were therefore excluded from the models</w:t>
      </w:r>
      <w:r w:rsidRPr="00EF6443">
        <w:rPr>
          <w:rFonts w:ascii="Times New Roman" w:eastAsia="Calibri" w:hAnsi="Times New Roman" w:cs="Times New Roman"/>
          <w:sz w:val="24"/>
          <w:szCs w:val="24"/>
          <w:lang w:val="en-US"/>
        </w:rPr>
        <w:t xml:space="preserve">. We then analyzed the effect of the 2-year dietary and PA intervention on cognition using a linear mixed-effects model </w:t>
      </w:r>
      <w:bookmarkStart w:id="0" w:name="_Hlk140331845"/>
      <w:r w:rsidRPr="00EF6443">
        <w:rPr>
          <w:rFonts w:ascii="Times New Roman" w:eastAsia="Calibri" w:hAnsi="Times New Roman" w:cs="Times New Roman"/>
          <w:sz w:val="24"/>
          <w:szCs w:val="24"/>
          <w:lang w:val="en-US"/>
        </w:rPr>
        <w:t>adjusted for age, sex, parental education, household income, and BF% at baseline and pubertal status at 2</w:t>
      </w:r>
      <w:r w:rsidR="001F7513" w:rsidRPr="00EF6443">
        <w:rPr>
          <w:rFonts w:ascii="Times New Roman" w:eastAsia="Calibri" w:hAnsi="Times New Roman" w:cs="Times New Roman"/>
          <w:sz w:val="24"/>
          <w:szCs w:val="24"/>
          <w:lang w:val="en-US"/>
        </w:rPr>
        <w:t>-</w:t>
      </w:r>
      <w:r w:rsidRPr="00EF6443">
        <w:rPr>
          <w:rFonts w:ascii="Times New Roman" w:eastAsia="Calibri" w:hAnsi="Times New Roman" w:cs="Times New Roman"/>
          <w:sz w:val="24"/>
          <w:szCs w:val="24"/>
          <w:lang w:val="en-US"/>
        </w:rPr>
        <w:t>year</w:t>
      </w:r>
      <w:r w:rsidR="001F7513" w:rsidRPr="00EF6443">
        <w:rPr>
          <w:rFonts w:ascii="Times New Roman" w:eastAsia="Calibri" w:hAnsi="Times New Roman" w:cs="Times New Roman"/>
          <w:sz w:val="24"/>
          <w:szCs w:val="24"/>
          <w:lang w:val="en-US"/>
        </w:rPr>
        <w:t xml:space="preserve"> follow-up</w:t>
      </w:r>
      <w:r w:rsidRPr="00EF6443">
        <w:rPr>
          <w:rFonts w:ascii="Times New Roman" w:eastAsia="Calibri" w:hAnsi="Times New Roman" w:cs="Times New Roman"/>
          <w:sz w:val="24"/>
          <w:szCs w:val="24"/>
          <w:lang w:val="en-US"/>
        </w:rPr>
        <w:t xml:space="preserve">. </w:t>
      </w:r>
      <w:bookmarkEnd w:id="0"/>
    </w:p>
    <w:p w14:paraId="63647FB2" w14:textId="44D2CBAE" w:rsidR="00DC77FD" w:rsidRDefault="00B73697" w:rsidP="00DC77FD">
      <w:pPr>
        <w:spacing w:after="120" w:line="480" w:lineRule="auto"/>
        <w:rPr>
          <w:rFonts w:ascii="Times New Roman" w:eastAsia="Calibri" w:hAnsi="Times New Roman" w:cs="Times New Roman"/>
          <w:sz w:val="24"/>
          <w:szCs w:val="24"/>
          <w:lang w:val="en-US"/>
        </w:rPr>
      </w:pPr>
      <w:r w:rsidRPr="005D6771">
        <w:rPr>
          <w:rFonts w:ascii="Times New Roman" w:eastAsia="Calibri" w:hAnsi="Times New Roman" w:cs="Times New Roman"/>
          <w:sz w:val="24"/>
          <w:szCs w:val="24"/>
          <w:lang w:val="en-US"/>
        </w:rPr>
        <w:t xml:space="preserve">To analyze the longitudinal associations of total BSDS and BSDS components, including red meat and sausages, fruit and berries, vegetables, high-fiber (≥5%) grain products, fish, PUFA-SFA ratio, total fat, milk (&lt;1% fat), TPA,  LPA, MVPA, VPA, ST, media time (screen time), reading time, writing time, and computer use time with the RCPM score, the intervention and control groups were pooled and treated as one group in the analyses. The linear mixed-effects model analyses </w:t>
      </w:r>
      <w:r w:rsidR="00D77599" w:rsidRPr="00EF6443">
        <w:rPr>
          <w:rFonts w:ascii="Times New Roman" w:eastAsia="Calibri" w:hAnsi="Times New Roman" w:cs="Times New Roman"/>
          <w:sz w:val="24"/>
          <w:szCs w:val="24"/>
          <w:lang w:val="en-US"/>
        </w:rPr>
        <w:t xml:space="preserve">adjusted for age, sex, parental education, household </w:t>
      </w:r>
      <w:r w:rsidR="00D77599" w:rsidRPr="00EF6443">
        <w:rPr>
          <w:rFonts w:ascii="Times New Roman" w:eastAsia="Calibri" w:hAnsi="Times New Roman" w:cs="Times New Roman"/>
          <w:sz w:val="24"/>
          <w:szCs w:val="24"/>
          <w:lang w:val="en-US"/>
        </w:rPr>
        <w:lastRenderedPageBreak/>
        <w:t xml:space="preserve">income, and BF% at baseline and pubertal status at </w:t>
      </w:r>
      <w:r w:rsidR="001F7513" w:rsidRPr="00EF6443">
        <w:rPr>
          <w:rFonts w:ascii="Times New Roman" w:eastAsia="Calibri" w:hAnsi="Times New Roman" w:cs="Times New Roman"/>
          <w:sz w:val="24"/>
          <w:szCs w:val="24"/>
          <w:lang w:val="en-US"/>
        </w:rPr>
        <w:t>2-year follow-up</w:t>
      </w:r>
      <w:r w:rsidR="00D77599" w:rsidRPr="00EF6443">
        <w:rPr>
          <w:rFonts w:ascii="Times New Roman" w:eastAsia="Calibri" w:hAnsi="Times New Roman" w:cs="Times New Roman"/>
          <w:sz w:val="24"/>
          <w:szCs w:val="24"/>
          <w:lang w:val="en-US"/>
        </w:rPr>
        <w:t xml:space="preserve"> </w:t>
      </w:r>
      <w:r w:rsidRPr="005D6771">
        <w:rPr>
          <w:rFonts w:ascii="Times New Roman" w:eastAsia="Calibri" w:hAnsi="Times New Roman" w:cs="Times New Roman"/>
          <w:sz w:val="24"/>
          <w:szCs w:val="24"/>
          <w:lang w:val="en-US"/>
        </w:rPr>
        <w:t>with maximum likelihood estimation were conducted according to a two-level structure, i.e., repeated (baseline and 2 years) measures of diet quality, PA, ST, or SB with the RCPM score. Next, we explored the within-subject and between-subject relationships of the variables demonstrating statistically significant associations with the RCPM score, which included BSDS, the consumption of red meat and sausages, ST, reading, writing, and computer use. The standard linear mixed-effects model pool together within-subject relationships (</w:t>
      </w:r>
      <w:proofErr w:type="spellStart"/>
      <w:r w:rsidRPr="005D6771">
        <w:rPr>
          <w:rFonts w:ascii="Times New Roman" w:eastAsia="Calibri" w:hAnsi="Times New Roman" w:cs="Times New Roman"/>
          <w:sz w:val="24"/>
          <w:szCs w:val="24"/>
          <w:lang w:val="en-US"/>
        </w:rPr>
        <w:t>i.e</w:t>
      </w:r>
      <w:proofErr w:type="spellEnd"/>
      <w:r w:rsidRPr="005D6771">
        <w:rPr>
          <w:rFonts w:ascii="Times New Roman" w:eastAsia="Calibri" w:hAnsi="Times New Roman" w:cs="Times New Roman"/>
          <w:sz w:val="24"/>
          <w:szCs w:val="24"/>
          <w:lang w:val="en-US"/>
        </w:rPr>
        <w:t xml:space="preserve"> whether a change in one variable over 2 years is associated with a change in another one) and between-subject relationships (</w:t>
      </w:r>
      <w:proofErr w:type="gramStart"/>
      <w:r w:rsidRPr="005D6771">
        <w:rPr>
          <w:rFonts w:ascii="Times New Roman" w:eastAsia="Calibri" w:hAnsi="Times New Roman" w:cs="Times New Roman"/>
          <w:sz w:val="24"/>
          <w:szCs w:val="24"/>
          <w:lang w:val="en-US"/>
        </w:rPr>
        <w:t>i.e.</w:t>
      </w:r>
      <w:proofErr w:type="gramEnd"/>
      <w:r w:rsidRPr="005D6771">
        <w:rPr>
          <w:rFonts w:ascii="Times New Roman" w:eastAsia="Calibri" w:hAnsi="Times New Roman" w:cs="Times New Roman"/>
          <w:sz w:val="24"/>
          <w:szCs w:val="24"/>
          <w:lang w:val="en-US"/>
        </w:rPr>
        <w:t xml:space="preserve"> whether an overall level of one variable over 2 years is associated with an overall level of another one) in such a way that no separation can be made between the two aspects of longitudinal relationships. Because of this limitation, we carried out additional analyses to sort out the within-subject and between-subject aspects of the relationships of BSDS, the consumption of red meat and sausages, ST, reading, writing, and computer use with the RCPM score by using a simple method described by van de Pol and Wright.</w:t>
      </w:r>
      <w:r w:rsidRPr="005D6771">
        <w:rPr>
          <w:rFonts w:ascii="Times New Roman" w:eastAsia="Calibri" w:hAnsi="Times New Roman" w:cs="Times New Roman"/>
          <w:sz w:val="24"/>
          <w:szCs w:val="24"/>
        </w:rPr>
        <w:fldChar w:fldCharType="begin" w:fldLock="1"/>
      </w:r>
      <w:r w:rsidR="00E5352F">
        <w:rPr>
          <w:rFonts w:ascii="Times New Roman" w:eastAsia="Calibri" w:hAnsi="Times New Roman" w:cs="Times New Roman"/>
          <w:sz w:val="24"/>
          <w:szCs w:val="24"/>
          <w:lang w:val="en-US"/>
        </w:rPr>
        <w:instrText xml:space="preserve"> ADDIN ZOTERO_ITEM CSL_CITATION {"citationID":"3RhGGpFN","properties":{"formattedCitation":"\\super 10\\nosupersub{}","plainCitation":"10","noteIndex":0},"citationItems":[{"id":"s1SPejOu/hbJb0GAD","uris":["http://www.mendeley.com/documents/?uuid=af9893c7-ce80-320f-8f8d-bd0b734f2b79"],"itemData":{"DOI":"10.1016/j.anbehav.2008.11.006","ISSN":"00033472","author":[{"dropping-particle":"","family":"Pol","given":"Martijn","non-dropping-particle":"van de","parse-names":false,"suffix":""},{"dropping-particle":"","family":"Wright","given":"Jonathan","non-dropping-particle":"","parse-names":false,"suffix":""}],"container-title":"Animal Behaviour","id":"ITEM-1","issue":"3","issued":{"date-parts":[["2009","3"]]},"page":"753-758","publisher":"Academic Press","title":"A simple method for distinguishing within- versus between-subject effects using mixed models","type":"article-journal","volume":"77"}}],"schema":"https://github.com/citation-style-language/schema/raw/master/csl-citation.json"} </w:instrText>
      </w:r>
      <w:r w:rsidRPr="005D6771">
        <w:rPr>
          <w:rFonts w:ascii="Times New Roman" w:eastAsia="Calibri" w:hAnsi="Times New Roman" w:cs="Times New Roman"/>
          <w:sz w:val="24"/>
          <w:szCs w:val="24"/>
        </w:rPr>
        <w:fldChar w:fldCharType="separate"/>
      </w:r>
      <w:r w:rsidR="00E5352F" w:rsidRPr="00E5352F">
        <w:rPr>
          <w:rFonts w:ascii="Times New Roman" w:hAnsi="Times New Roman" w:cs="Times New Roman"/>
          <w:sz w:val="24"/>
          <w:szCs w:val="24"/>
          <w:vertAlign w:val="superscript"/>
          <w:lang w:val="en-US"/>
        </w:rPr>
        <w:t>10</w:t>
      </w:r>
      <w:r w:rsidRPr="005D6771">
        <w:rPr>
          <w:rFonts w:ascii="Times New Roman" w:eastAsia="Calibri" w:hAnsi="Times New Roman" w:cs="Times New Roman"/>
          <w:sz w:val="24"/>
          <w:szCs w:val="24"/>
        </w:rPr>
        <w:fldChar w:fldCharType="end"/>
      </w:r>
      <w:r w:rsidRPr="005D6771">
        <w:rPr>
          <w:rFonts w:ascii="Times New Roman" w:eastAsia="Calibri" w:hAnsi="Times New Roman" w:cs="Times New Roman"/>
          <w:sz w:val="24"/>
          <w:szCs w:val="24"/>
          <w:lang w:val="en-US"/>
        </w:rPr>
        <w:t xml:space="preserve"> By this method, subtracting the subject’s mean value from each observation value (i.e., within-subject centering) effectively eliminates any between-subject variation thus creating a new variable that expresses only the within-subject variation component. On the other hand, a second new variable expressing only the between-subject variation component is simply the mean of baseline and two-year observations (i.e., baseline and two-year observations for the same subject are both given the same value). Whenever the parameter estimates of these two effects seem to differ, it is possible to compare them to see whether they are statistically different from each other.</w:t>
      </w:r>
    </w:p>
    <w:p w14:paraId="66BF39EB" w14:textId="77777777" w:rsidR="00C07CED" w:rsidRDefault="00C07CED" w:rsidP="00DC77FD">
      <w:pPr>
        <w:spacing w:after="120" w:line="480" w:lineRule="auto"/>
        <w:rPr>
          <w:rFonts w:ascii="Times New Roman" w:eastAsia="Calibri" w:hAnsi="Times New Roman" w:cs="Times New Roman"/>
          <w:sz w:val="24"/>
          <w:szCs w:val="24"/>
          <w:lang w:val="en-US"/>
        </w:rPr>
      </w:pPr>
    </w:p>
    <w:p w14:paraId="266C28DA" w14:textId="77777777" w:rsidR="00C07CED" w:rsidRDefault="00C07CED" w:rsidP="00DC77FD">
      <w:pPr>
        <w:spacing w:after="120" w:line="480" w:lineRule="auto"/>
        <w:rPr>
          <w:rFonts w:ascii="Times New Roman" w:eastAsia="Calibri" w:hAnsi="Times New Roman" w:cs="Times New Roman"/>
          <w:sz w:val="24"/>
          <w:szCs w:val="24"/>
          <w:lang w:val="en-US"/>
        </w:rPr>
      </w:pPr>
    </w:p>
    <w:p w14:paraId="10DC4588" w14:textId="77777777" w:rsidR="00C07CED" w:rsidRPr="005D6771" w:rsidRDefault="00C07CED" w:rsidP="00DC77FD">
      <w:pPr>
        <w:spacing w:after="120" w:line="480" w:lineRule="auto"/>
        <w:rPr>
          <w:rFonts w:ascii="Times New Roman" w:eastAsia="Calibri" w:hAnsi="Times New Roman" w:cs="Times New Roman"/>
          <w:sz w:val="24"/>
          <w:szCs w:val="24"/>
          <w:lang w:val="en-US"/>
        </w:rPr>
      </w:pPr>
    </w:p>
    <w:p w14:paraId="4F393A58" w14:textId="64812FEB" w:rsidR="00055667" w:rsidRPr="005D6771" w:rsidRDefault="00055667" w:rsidP="006154A4">
      <w:pPr>
        <w:spacing w:after="0" w:line="480" w:lineRule="auto"/>
        <w:rPr>
          <w:rFonts w:ascii="Times New Roman" w:hAnsi="Times New Roman" w:cs="Times New Roman"/>
          <w:b/>
          <w:bCs/>
          <w:sz w:val="24"/>
          <w:szCs w:val="24"/>
        </w:rPr>
      </w:pPr>
      <w:proofErr w:type="spellStart"/>
      <w:r w:rsidRPr="005D6771">
        <w:rPr>
          <w:rFonts w:ascii="Times New Roman" w:hAnsi="Times New Roman" w:cs="Times New Roman"/>
          <w:b/>
          <w:bCs/>
          <w:sz w:val="24"/>
          <w:szCs w:val="24"/>
        </w:rPr>
        <w:lastRenderedPageBreak/>
        <w:t>R</w:t>
      </w:r>
      <w:r w:rsidR="00C07CED">
        <w:rPr>
          <w:rFonts w:ascii="Times New Roman" w:hAnsi="Times New Roman" w:cs="Times New Roman"/>
          <w:b/>
          <w:bCs/>
          <w:sz w:val="24"/>
          <w:szCs w:val="24"/>
        </w:rPr>
        <w:t>eferences</w:t>
      </w:r>
      <w:proofErr w:type="spellEnd"/>
    </w:p>
    <w:p w14:paraId="75A07E23" w14:textId="1907665E" w:rsidR="00E5352F" w:rsidRPr="00E5352F" w:rsidRDefault="00DC77FD" w:rsidP="004C7CD2">
      <w:pPr>
        <w:pStyle w:val="Bibliography"/>
        <w:spacing w:line="480" w:lineRule="auto"/>
        <w:rPr>
          <w:rFonts w:ascii="Times New Roman" w:hAnsi="Times New Roman" w:cs="Times New Roman"/>
          <w:sz w:val="24"/>
          <w:lang w:val="en-US"/>
        </w:rPr>
      </w:pPr>
      <w:r w:rsidRPr="005D6771">
        <w:rPr>
          <w:b/>
          <w:bCs/>
          <w:lang w:val="en-US"/>
        </w:rPr>
        <w:fldChar w:fldCharType="begin"/>
      </w:r>
      <w:r w:rsidRPr="005D6771">
        <w:rPr>
          <w:b/>
          <w:bCs/>
        </w:rPr>
        <w:instrText xml:space="preserve"> ADDIN ZOTERO_BIBL {"uncited":[],"omitted":[],"custom":[]} CSL_BIBLIOGRAPHY </w:instrText>
      </w:r>
      <w:r w:rsidRPr="005D6771">
        <w:rPr>
          <w:b/>
          <w:bCs/>
          <w:lang w:val="en-US"/>
        </w:rPr>
        <w:fldChar w:fldCharType="separate"/>
      </w:r>
      <w:r w:rsidR="00E5352F" w:rsidRPr="00E5352F">
        <w:rPr>
          <w:rFonts w:ascii="Times New Roman" w:hAnsi="Times New Roman" w:cs="Times New Roman"/>
          <w:sz w:val="24"/>
        </w:rPr>
        <w:t>1.</w:t>
      </w:r>
      <w:r w:rsidR="00E5352F" w:rsidRPr="00E5352F">
        <w:rPr>
          <w:rFonts w:ascii="Times New Roman" w:hAnsi="Times New Roman" w:cs="Times New Roman"/>
          <w:sz w:val="24"/>
        </w:rPr>
        <w:tab/>
        <w:t xml:space="preserve">Lakka TA, Lintu N, Väistö J, et al. </w:t>
      </w:r>
      <w:r w:rsidR="00E5352F" w:rsidRPr="00E5352F">
        <w:rPr>
          <w:rFonts w:ascii="Times New Roman" w:hAnsi="Times New Roman" w:cs="Times New Roman"/>
          <w:sz w:val="24"/>
          <w:lang w:val="en-US"/>
        </w:rPr>
        <w:t xml:space="preserve">A 2 year physical activity and dietary intervention attenuates the increase in insulin resistance in a general population of children: the PANIC study. </w:t>
      </w:r>
      <w:r w:rsidR="00E5352F" w:rsidRPr="00E5352F">
        <w:rPr>
          <w:rFonts w:ascii="Times New Roman" w:hAnsi="Times New Roman" w:cs="Times New Roman"/>
          <w:i/>
          <w:iCs/>
          <w:sz w:val="24"/>
          <w:lang w:val="en-US"/>
        </w:rPr>
        <w:t>Diabetologia</w:t>
      </w:r>
      <w:r w:rsidR="00E5352F" w:rsidRPr="00E5352F">
        <w:rPr>
          <w:rFonts w:ascii="Times New Roman" w:hAnsi="Times New Roman" w:cs="Times New Roman"/>
          <w:sz w:val="24"/>
          <w:lang w:val="en-US"/>
        </w:rPr>
        <w:t xml:space="preserve">. 2020;63(11):2270-2281. </w:t>
      </w:r>
    </w:p>
    <w:p w14:paraId="291405E5" w14:textId="5B7BE587" w:rsidR="00E5352F" w:rsidRPr="00E5352F" w:rsidRDefault="00E5352F" w:rsidP="004C7CD2">
      <w:pPr>
        <w:pStyle w:val="Bibliography"/>
        <w:spacing w:line="480" w:lineRule="auto"/>
        <w:rPr>
          <w:rFonts w:ascii="Times New Roman" w:hAnsi="Times New Roman" w:cs="Times New Roman"/>
          <w:sz w:val="24"/>
        </w:rPr>
      </w:pPr>
      <w:r w:rsidRPr="00E5352F">
        <w:rPr>
          <w:rFonts w:ascii="Times New Roman" w:hAnsi="Times New Roman" w:cs="Times New Roman"/>
          <w:sz w:val="24"/>
          <w:lang w:val="en-US"/>
        </w:rPr>
        <w:t>2.</w:t>
      </w:r>
      <w:r w:rsidRPr="00E5352F">
        <w:rPr>
          <w:rFonts w:ascii="Times New Roman" w:hAnsi="Times New Roman" w:cs="Times New Roman"/>
          <w:sz w:val="24"/>
          <w:lang w:val="en-US"/>
        </w:rPr>
        <w:tab/>
        <w:t xml:space="preserve">Collings PJ, Westgate K, Väistö J, et al. Cross-Sectional Associations of Objectively-Measured Physical Activity and Sedentary Time with Body Composition and Cardiorespiratory Fitness in Mid-Childhood: The PANIC Study. </w:t>
      </w:r>
      <w:r w:rsidRPr="00E5352F">
        <w:rPr>
          <w:rFonts w:ascii="Times New Roman" w:hAnsi="Times New Roman" w:cs="Times New Roman"/>
          <w:i/>
          <w:iCs/>
          <w:sz w:val="24"/>
        </w:rPr>
        <w:t>Sports Med</w:t>
      </w:r>
      <w:r w:rsidRPr="00E5352F">
        <w:rPr>
          <w:rFonts w:ascii="Times New Roman" w:hAnsi="Times New Roman" w:cs="Times New Roman"/>
          <w:sz w:val="24"/>
        </w:rPr>
        <w:t xml:space="preserve">. 2017;47(4):769-780. </w:t>
      </w:r>
    </w:p>
    <w:p w14:paraId="0032DB5E" w14:textId="4DA86BD0" w:rsidR="00E5352F" w:rsidRPr="00E5352F" w:rsidRDefault="00E5352F" w:rsidP="004C7CD2">
      <w:pPr>
        <w:pStyle w:val="Bibliography"/>
        <w:spacing w:line="480" w:lineRule="auto"/>
        <w:rPr>
          <w:rFonts w:ascii="Times New Roman" w:hAnsi="Times New Roman" w:cs="Times New Roman"/>
          <w:sz w:val="24"/>
          <w:lang w:val="en-US"/>
        </w:rPr>
      </w:pPr>
      <w:r w:rsidRPr="00E5352F">
        <w:rPr>
          <w:rFonts w:ascii="Times New Roman" w:hAnsi="Times New Roman" w:cs="Times New Roman"/>
          <w:sz w:val="24"/>
        </w:rPr>
        <w:t>3.</w:t>
      </w:r>
      <w:r w:rsidRPr="00E5352F">
        <w:rPr>
          <w:rFonts w:ascii="Times New Roman" w:hAnsi="Times New Roman" w:cs="Times New Roman"/>
          <w:sz w:val="24"/>
        </w:rPr>
        <w:tab/>
        <w:t xml:space="preserve">Väistö J, Haapala EA, Viitasalo A, et al. </w:t>
      </w:r>
      <w:r w:rsidRPr="00E5352F">
        <w:rPr>
          <w:rFonts w:ascii="Times New Roman" w:hAnsi="Times New Roman" w:cs="Times New Roman"/>
          <w:sz w:val="24"/>
          <w:lang w:val="en-US"/>
        </w:rPr>
        <w:t xml:space="preserve">Longitudinal associations of physical activity and sedentary time with cardiometabolic risk factors in children. </w:t>
      </w:r>
      <w:r w:rsidRPr="00E5352F">
        <w:rPr>
          <w:rFonts w:ascii="Times New Roman" w:hAnsi="Times New Roman" w:cs="Times New Roman"/>
          <w:i/>
          <w:iCs/>
          <w:sz w:val="24"/>
          <w:lang w:val="en-US"/>
        </w:rPr>
        <w:t>Scand J Med Sci Sports</w:t>
      </w:r>
      <w:r w:rsidRPr="00E5352F">
        <w:rPr>
          <w:rFonts w:ascii="Times New Roman" w:hAnsi="Times New Roman" w:cs="Times New Roman"/>
          <w:sz w:val="24"/>
          <w:lang w:val="en-US"/>
        </w:rPr>
        <w:t xml:space="preserve">. 2019;29(1):113-123. </w:t>
      </w:r>
    </w:p>
    <w:p w14:paraId="3A1648F7" w14:textId="442E4576" w:rsidR="00E5352F" w:rsidRPr="00E5352F" w:rsidRDefault="00E5352F" w:rsidP="004C7CD2">
      <w:pPr>
        <w:pStyle w:val="Bibliography"/>
        <w:spacing w:line="480" w:lineRule="auto"/>
        <w:rPr>
          <w:rFonts w:ascii="Times New Roman" w:hAnsi="Times New Roman" w:cs="Times New Roman"/>
          <w:sz w:val="24"/>
          <w:lang w:val="en-US"/>
        </w:rPr>
      </w:pPr>
      <w:r w:rsidRPr="00E5352F">
        <w:rPr>
          <w:rFonts w:ascii="Times New Roman" w:hAnsi="Times New Roman" w:cs="Times New Roman"/>
          <w:sz w:val="24"/>
          <w:lang w:val="en-US"/>
        </w:rPr>
        <w:t>4.</w:t>
      </w:r>
      <w:r w:rsidRPr="00E5352F">
        <w:rPr>
          <w:rFonts w:ascii="Times New Roman" w:hAnsi="Times New Roman" w:cs="Times New Roman"/>
          <w:sz w:val="24"/>
          <w:lang w:val="en-US"/>
        </w:rPr>
        <w:tab/>
        <w:t xml:space="preserve">Brooke HL, Corder K, Atkin AJ, van Sluijs EMF. A Systematic Literature Review with Meta-Analyses of Within- and Between-Day Differences in Objectively Measured Physical Activity in School-Aged Children. </w:t>
      </w:r>
      <w:r w:rsidRPr="00E5352F">
        <w:rPr>
          <w:rFonts w:ascii="Times New Roman" w:hAnsi="Times New Roman" w:cs="Times New Roman"/>
          <w:i/>
          <w:iCs/>
          <w:sz w:val="24"/>
          <w:lang w:val="en-US"/>
        </w:rPr>
        <w:t>Sports Med</w:t>
      </w:r>
      <w:r w:rsidRPr="00E5352F">
        <w:rPr>
          <w:rFonts w:ascii="Times New Roman" w:hAnsi="Times New Roman" w:cs="Times New Roman"/>
          <w:sz w:val="24"/>
          <w:lang w:val="en-US"/>
        </w:rPr>
        <w:t xml:space="preserve">. 2014;44(10):1427-1438. </w:t>
      </w:r>
    </w:p>
    <w:p w14:paraId="03F9FED5" w14:textId="6490EA40" w:rsidR="00E5352F" w:rsidRPr="00E5352F" w:rsidRDefault="00E5352F" w:rsidP="004C7CD2">
      <w:pPr>
        <w:pStyle w:val="Bibliography"/>
        <w:spacing w:line="480" w:lineRule="auto"/>
        <w:rPr>
          <w:rFonts w:ascii="Times New Roman" w:hAnsi="Times New Roman" w:cs="Times New Roman"/>
          <w:sz w:val="24"/>
          <w:lang w:val="en-US"/>
        </w:rPr>
      </w:pPr>
      <w:r w:rsidRPr="00E5352F">
        <w:rPr>
          <w:rFonts w:ascii="Times New Roman" w:hAnsi="Times New Roman" w:cs="Times New Roman"/>
          <w:sz w:val="24"/>
          <w:lang w:val="en-US"/>
        </w:rPr>
        <w:t>5.</w:t>
      </w:r>
      <w:r w:rsidRPr="00E5352F">
        <w:rPr>
          <w:rFonts w:ascii="Times New Roman" w:hAnsi="Times New Roman" w:cs="Times New Roman"/>
          <w:sz w:val="24"/>
          <w:lang w:val="en-US"/>
        </w:rPr>
        <w:tab/>
        <w:t xml:space="preserve">Brage S, Ekelund U, Brage N, et al. Hierarchy of individual calibration levels for heart rate and accelerometry to measure physical activity. </w:t>
      </w:r>
      <w:r w:rsidRPr="00E5352F">
        <w:rPr>
          <w:rFonts w:ascii="Times New Roman" w:hAnsi="Times New Roman" w:cs="Times New Roman"/>
          <w:i/>
          <w:iCs/>
          <w:sz w:val="24"/>
          <w:lang w:val="en-US"/>
        </w:rPr>
        <w:t>J Appl Physiol</w:t>
      </w:r>
      <w:r w:rsidRPr="00E5352F">
        <w:rPr>
          <w:rFonts w:ascii="Times New Roman" w:hAnsi="Times New Roman" w:cs="Times New Roman"/>
          <w:sz w:val="24"/>
          <w:lang w:val="en-US"/>
        </w:rPr>
        <w:t xml:space="preserve">. 2007;103(2):682-692. </w:t>
      </w:r>
    </w:p>
    <w:p w14:paraId="28B1DDBD" w14:textId="5E43B93C" w:rsidR="00E5352F" w:rsidRPr="00EF6443" w:rsidRDefault="00E5352F" w:rsidP="004C7CD2">
      <w:pPr>
        <w:pStyle w:val="Bibliography"/>
        <w:spacing w:line="480" w:lineRule="auto"/>
        <w:rPr>
          <w:rFonts w:ascii="Times New Roman" w:hAnsi="Times New Roman" w:cs="Times New Roman"/>
          <w:sz w:val="24"/>
          <w:lang w:val="en-US"/>
        </w:rPr>
      </w:pPr>
      <w:r w:rsidRPr="00E5352F">
        <w:rPr>
          <w:rFonts w:ascii="Times New Roman" w:hAnsi="Times New Roman" w:cs="Times New Roman"/>
          <w:sz w:val="24"/>
          <w:lang w:val="en-US"/>
        </w:rPr>
        <w:t>6.</w:t>
      </w:r>
      <w:r w:rsidRPr="00E5352F">
        <w:rPr>
          <w:rFonts w:ascii="Times New Roman" w:hAnsi="Times New Roman" w:cs="Times New Roman"/>
          <w:sz w:val="24"/>
          <w:lang w:val="en-US"/>
        </w:rPr>
        <w:tab/>
        <w:t xml:space="preserve">Cole TJ, Bellizzi MC, Flegal KM, Dietz WH. Establishing a standard definition for child overweight and obesity worldwide: international survey. </w:t>
      </w:r>
      <w:r w:rsidRPr="00EF6443">
        <w:rPr>
          <w:rFonts w:ascii="Times New Roman" w:hAnsi="Times New Roman" w:cs="Times New Roman"/>
          <w:i/>
          <w:iCs/>
          <w:sz w:val="24"/>
          <w:lang w:val="en-US"/>
        </w:rPr>
        <w:t>BMJ</w:t>
      </w:r>
      <w:r w:rsidRPr="00EF6443">
        <w:rPr>
          <w:rFonts w:ascii="Times New Roman" w:hAnsi="Times New Roman" w:cs="Times New Roman"/>
          <w:sz w:val="24"/>
          <w:lang w:val="en-US"/>
        </w:rPr>
        <w:t xml:space="preserve">. 2000;320(7244):1240. </w:t>
      </w:r>
    </w:p>
    <w:p w14:paraId="4A946384" w14:textId="5211C15A" w:rsidR="00E5352F" w:rsidRPr="00E5352F" w:rsidRDefault="00E5352F" w:rsidP="004C7CD2">
      <w:pPr>
        <w:pStyle w:val="Bibliography"/>
        <w:spacing w:line="480" w:lineRule="auto"/>
        <w:rPr>
          <w:rFonts w:ascii="Times New Roman" w:hAnsi="Times New Roman" w:cs="Times New Roman"/>
          <w:sz w:val="24"/>
          <w:lang w:val="en-US"/>
        </w:rPr>
      </w:pPr>
      <w:r w:rsidRPr="00EF6443">
        <w:rPr>
          <w:rFonts w:ascii="Times New Roman" w:hAnsi="Times New Roman" w:cs="Times New Roman"/>
          <w:sz w:val="24"/>
          <w:lang w:val="en-US"/>
        </w:rPr>
        <w:t>7.</w:t>
      </w:r>
      <w:r w:rsidRPr="00EF6443">
        <w:rPr>
          <w:rFonts w:ascii="Times New Roman" w:hAnsi="Times New Roman" w:cs="Times New Roman"/>
          <w:sz w:val="24"/>
          <w:lang w:val="en-US"/>
        </w:rPr>
        <w:tab/>
        <w:t xml:space="preserve">Tompuri TT, Lakka TA, Hakulinen M, et al. </w:t>
      </w:r>
      <w:r w:rsidRPr="00E5352F">
        <w:rPr>
          <w:rFonts w:ascii="Times New Roman" w:hAnsi="Times New Roman" w:cs="Times New Roman"/>
          <w:sz w:val="24"/>
          <w:lang w:val="en-US"/>
        </w:rPr>
        <w:t xml:space="preserve">Assessment of body composition by dual-energy X-ray absorptiometry, bioimpedance analysis and anthropometrics in children: the Physical Activity and Nutrition in Children study. </w:t>
      </w:r>
      <w:r w:rsidRPr="00E5352F">
        <w:rPr>
          <w:rFonts w:ascii="Times New Roman" w:hAnsi="Times New Roman" w:cs="Times New Roman"/>
          <w:i/>
          <w:iCs/>
          <w:sz w:val="24"/>
          <w:lang w:val="en-US"/>
        </w:rPr>
        <w:t>Clinical Physiology and Functional Imaging</w:t>
      </w:r>
      <w:r w:rsidRPr="00E5352F">
        <w:rPr>
          <w:rFonts w:ascii="Times New Roman" w:hAnsi="Times New Roman" w:cs="Times New Roman"/>
          <w:sz w:val="24"/>
          <w:lang w:val="en-US"/>
        </w:rPr>
        <w:t xml:space="preserve">. 2015;35(1):21-33. </w:t>
      </w:r>
    </w:p>
    <w:p w14:paraId="39BAA036" w14:textId="77777777" w:rsidR="00E5352F" w:rsidRPr="00E5352F" w:rsidRDefault="00E5352F" w:rsidP="004C7CD2">
      <w:pPr>
        <w:pStyle w:val="Bibliography"/>
        <w:spacing w:line="480" w:lineRule="auto"/>
        <w:rPr>
          <w:rFonts w:ascii="Times New Roman" w:hAnsi="Times New Roman" w:cs="Times New Roman"/>
          <w:sz w:val="24"/>
          <w:lang w:val="en-US"/>
        </w:rPr>
      </w:pPr>
      <w:r w:rsidRPr="00E5352F">
        <w:rPr>
          <w:rFonts w:ascii="Times New Roman" w:hAnsi="Times New Roman" w:cs="Times New Roman"/>
          <w:sz w:val="24"/>
          <w:lang w:val="en-US"/>
        </w:rPr>
        <w:lastRenderedPageBreak/>
        <w:t>8.</w:t>
      </w:r>
      <w:r w:rsidRPr="00E5352F">
        <w:rPr>
          <w:rFonts w:ascii="Times New Roman" w:hAnsi="Times New Roman" w:cs="Times New Roman"/>
          <w:sz w:val="24"/>
          <w:lang w:val="en-US"/>
        </w:rPr>
        <w:tab/>
        <w:t xml:space="preserve">Marshall WA, Tanner JM. Variations in the Pattern of Pubertal Changes in Boys. </w:t>
      </w:r>
      <w:r w:rsidRPr="00E5352F">
        <w:rPr>
          <w:rFonts w:ascii="Times New Roman" w:hAnsi="Times New Roman" w:cs="Times New Roman"/>
          <w:i/>
          <w:iCs/>
          <w:sz w:val="24"/>
          <w:lang w:val="en-US"/>
        </w:rPr>
        <w:t>Arch Dis Child</w:t>
      </w:r>
      <w:r w:rsidRPr="00E5352F">
        <w:rPr>
          <w:rFonts w:ascii="Times New Roman" w:hAnsi="Times New Roman" w:cs="Times New Roman"/>
          <w:sz w:val="24"/>
          <w:lang w:val="en-US"/>
        </w:rPr>
        <w:t>. 1970;45(239):13-23.</w:t>
      </w:r>
    </w:p>
    <w:p w14:paraId="47A1089D" w14:textId="77777777" w:rsidR="00E5352F" w:rsidRPr="00E5352F" w:rsidRDefault="00E5352F" w:rsidP="004C7CD2">
      <w:pPr>
        <w:pStyle w:val="Bibliography"/>
        <w:spacing w:line="480" w:lineRule="auto"/>
        <w:rPr>
          <w:rFonts w:ascii="Times New Roman" w:hAnsi="Times New Roman" w:cs="Times New Roman"/>
          <w:sz w:val="24"/>
          <w:lang w:val="en-US"/>
        </w:rPr>
      </w:pPr>
      <w:r w:rsidRPr="00E5352F">
        <w:rPr>
          <w:rFonts w:ascii="Times New Roman" w:hAnsi="Times New Roman" w:cs="Times New Roman"/>
          <w:sz w:val="24"/>
          <w:lang w:val="en-US"/>
        </w:rPr>
        <w:t>9.</w:t>
      </w:r>
      <w:r w:rsidRPr="00E5352F">
        <w:rPr>
          <w:rFonts w:ascii="Times New Roman" w:hAnsi="Times New Roman" w:cs="Times New Roman"/>
          <w:sz w:val="24"/>
          <w:lang w:val="en-US"/>
        </w:rPr>
        <w:tab/>
        <w:t xml:space="preserve">Marshall WA, Tanner JM. Variations in pattern of pubertal changes in girls. </w:t>
      </w:r>
      <w:r w:rsidRPr="00E5352F">
        <w:rPr>
          <w:rFonts w:ascii="Times New Roman" w:hAnsi="Times New Roman" w:cs="Times New Roman"/>
          <w:i/>
          <w:iCs/>
          <w:sz w:val="24"/>
          <w:lang w:val="en-US"/>
        </w:rPr>
        <w:t>Arch Dis Child</w:t>
      </w:r>
      <w:r w:rsidRPr="00E5352F">
        <w:rPr>
          <w:rFonts w:ascii="Times New Roman" w:hAnsi="Times New Roman" w:cs="Times New Roman"/>
          <w:sz w:val="24"/>
          <w:lang w:val="en-US"/>
        </w:rPr>
        <w:t>. 1969;44(235):291-303.</w:t>
      </w:r>
    </w:p>
    <w:p w14:paraId="07D45671" w14:textId="3E17600D" w:rsidR="00E5352F" w:rsidRPr="00E5352F" w:rsidRDefault="00E5352F" w:rsidP="004C7CD2">
      <w:pPr>
        <w:pStyle w:val="Bibliography"/>
        <w:spacing w:line="480" w:lineRule="auto"/>
        <w:rPr>
          <w:rFonts w:ascii="Times New Roman" w:hAnsi="Times New Roman" w:cs="Times New Roman"/>
          <w:sz w:val="24"/>
        </w:rPr>
      </w:pPr>
      <w:r w:rsidRPr="00E5352F">
        <w:rPr>
          <w:rFonts w:ascii="Times New Roman" w:hAnsi="Times New Roman" w:cs="Times New Roman"/>
          <w:sz w:val="24"/>
          <w:lang w:val="en-US"/>
        </w:rPr>
        <w:t>10.</w:t>
      </w:r>
      <w:r w:rsidRPr="00E5352F">
        <w:rPr>
          <w:rFonts w:ascii="Times New Roman" w:hAnsi="Times New Roman" w:cs="Times New Roman"/>
          <w:sz w:val="24"/>
          <w:lang w:val="en-US"/>
        </w:rPr>
        <w:tab/>
        <w:t xml:space="preserve">van de Pol M, Wright J. A simple method for distinguishing within- versus between-subject effects using mixed models. </w:t>
      </w:r>
      <w:r w:rsidRPr="00E5352F">
        <w:rPr>
          <w:rFonts w:ascii="Times New Roman" w:hAnsi="Times New Roman" w:cs="Times New Roman"/>
          <w:i/>
          <w:iCs/>
          <w:sz w:val="24"/>
        </w:rPr>
        <w:t>Animal Behaviour</w:t>
      </w:r>
      <w:r w:rsidRPr="00E5352F">
        <w:rPr>
          <w:rFonts w:ascii="Times New Roman" w:hAnsi="Times New Roman" w:cs="Times New Roman"/>
          <w:sz w:val="24"/>
        </w:rPr>
        <w:t xml:space="preserve">. 2009;77(3):753-758. </w:t>
      </w:r>
    </w:p>
    <w:p w14:paraId="76041E32" w14:textId="3BD65CD4" w:rsidR="00055667" w:rsidRPr="005D6771" w:rsidRDefault="00DC77FD" w:rsidP="004C7CD2">
      <w:pPr>
        <w:spacing w:after="0" w:line="480" w:lineRule="auto"/>
        <w:rPr>
          <w:rFonts w:ascii="Times New Roman" w:hAnsi="Times New Roman" w:cs="Times New Roman"/>
          <w:b/>
          <w:bCs/>
          <w:sz w:val="24"/>
          <w:szCs w:val="24"/>
          <w:lang w:val="en-US"/>
        </w:rPr>
      </w:pPr>
      <w:r w:rsidRPr="005D6771">
        <w:rPr>
          <w:rFonts w:ascii="Times New Roman" w:hAnsi="Times New Roman" w:cs="Times New Roman"/>
          <w:b/>
          <w:bCs/>
          <w:sz w:val="24"/>
          <w:szCs w:val="24"/>
          <w:lang w:val="en-US"/>
        </w:rPr>
        <w:fldChar w:fldCharType="end"/>
      </w:r>
    </w:p>
    <w:sectPr w:rsidR="00055667" w:rsidRPr="005D6771" w:rsidSect="00992589">
      <w:head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E7C3" w14:textId="77777777" w:rsidR="00992589" w:rsidRDefault="00992589" w:rsidP="00992589">
      <w:pPr>
        <w:spacing w:after="0" w:line="240" w:lineRule="auto"/>
      </w:pPr>
      <w:r>
        <w:separator/>
      </w:r>
    </w:p>
  </w:endnote>
  <w:endnote w:type="continuationSeparator" w:id="0">
    <w:p w14:paraId="3C131076" w14:textId="77777777" w:rsidR="00992589" w:rsidRDefault="00992589" w:rsidP="0099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0D66" w14:textId="77777777" w:rsidR="00992589" w:rsidRDefault="00992589" w:rsidP="00992589">
      <w:pPr>
        <w:spacing w:after="0" w:line="240" w:lineRule="auto"/>
      </w:pPr>
      <w:r>
        <w:separator/>
      </w:r>
    </w:p>
  </w:footnote>
  <w:footnote w:type="continuationSeparator" w:id="0">
    <w:p w14:paraId="548B7BA7" w14:textId="77777777" w:rsidR="00992589" w:rsidRDefault="00992589" w:rsidP="00992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26362"/>
      <w:docPartObj>
        <w:docPartGallery w:val="Page Numbers (Top of Page)"/>
        <w:docPartUnique/>
      </w:docPartObj>
    </w:sdtPr>
    <w:sdtEndPr>
      <w:rPr>
        <w:noProof/>
      </w:rPr>
    </w:sdtEndPr>
    <w:sdtContent>
      <w:p w14:paraId="7E66CDE5" w14:textId="1700C646" w:rsidR="00992589" w:rsidRDefault="009925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11CE0B" w14:textId="77777777" w:rsidR="00992589" w:rsidRDefault="00992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97"/>
    <w:rsid w:val="0002373D"/>
    <w:rsid w:val="0003373F"/>
    <w:rsid w:val="00055667"/>
    <w:rsid w:val="00083E2E"/>
    <w:rsid w:val="000E28BB"/>
    <w:rsid w:val="000E618B"/>
    <w:rsid w:val="000F3F7D"/>
    <w:rsid w:val="000F5686"/>
    <w:rsid w:val="001507F5"/>
    <w:rsid w:val="00187605"/>
    <w:rsid w:val="00195863"/>
    <w:rsid w:val="001B4695"/>
    <w:rsid w:val="001B6DB7"/>
    <w:rsid w:val="001F7513"/>
    <w:rsid w:val="00207304"/>
    <w:rsid w:val="00207956"/>
    <w:rsid w:val="00227569"/>
    <w:rsid w:val="00282471"/>
    <w:rsid w:val="00285764"/>
    <w:rsid w:val="002C0E67"/>
    <w:rsid w:val="002C44C9"/>
    <w:rsid w:val="002C76C8"/>
    <w:rsid w:val="002D3FEF"/>
    <w:rsid w:val="002D5E1A"/>
    <w:rsid w:val="003317BC"/>
    <w:rsid w:val="0038531C"/>
    <w:rsid w:val="003909C3"/>
    <w:rsid w:val="00390A90"/>
    <w:rsid w:val="00391F70"/>
    <w:rsid w:val="003B02D6"/>
    <w:rsid w:val="003C2A3C"/>
    <w:rsid w:val="003F2C47"/>
    <w:rsid w:val="00442B28"/>
    <w:rsid w:val="004449FF"/>
    <w:rsid w:val="00475144"/>
    <w:rsid w:val="0049448A"/>
    <w:rsid w:val="00496D96"/>
    <w:rsid w:val="004A094B"/>
    <w:rsid w:val="004A3297"/>
    <w:rsid w:val="004C7CD2"/>
    <w:rsid w:val="004D7DDB"/>
    <w:rsid w:val="004E0378"/>
    <w:rsid w:val="004E34A0"/>
    <w:rsid w:val="004E4052"/>
    <w:rsid w:val="004F3145"/>
    <w:rsid w:val="004F6912"/>
    <w:rsid w:val="00521E43"/>
    <w:rsid w:val="00563F0F"/>
    <w:rsid w:val="005801C0"/>
    <w:rsid w:val="00584F0F"/>
    <w:rsid w:val="005A1965"/>
    <w:rsid w:val="005A65E1"/>
    <w:rsid w:val="005B2219"/>
    <w:rsid w:val="005D3CD2"/>
    <w:rsid w:val="005D6771"/>
    <w:rsid w:val="00604620"/>
    <w:rsid w:val="006154A4"/>
    <w:rsid w:val="006470DF"/>
    <w:rsid w:val="006577FA"/>
    <w:rsid w:val="006662C3"/>
    <w:rsid w:val="006E367E"/>
    <w:rsid w:val="006F62A1"/>
    <w:rsid w:val="00724367"/>
    <w:rsid w:val="00735D83"/>
    <w:rsid w:val="007457BE"/>
    <w:rsid w:val="00751872"/>
    <w:rsid w:val="00763420"/>
    <w:rsid w:val="007917AC"/>
    <w:rsid w:val="00793236"/>
    <w:rsid w:val="00794276"/>
    <w:rsid w:val="007A3FE2"/>
    <w:rsid w:val="007A4061"/>
    <w:rsid w:val="007E179B"/>
    <w:rsid w:val="007E66F1"/>
    <w:rsid w:val="007E6C55"/>
    <w:rsid w:val="00860F7E"/>
    <w:rsid w:val="00882D97"/>
    <w:rsid w:val="008A1326"/>
    <w:rsid w:val="008D12F1"/>
    <w:rsid w:val="008F3EBF"/>
    <w:rsid w:val="00914616"/>
    <w:rsid w:val="00926D02"/>
    <w:rsid w:val="00947373"/>
    <w:rsid w:val="0094795A"/>
    <w:rsid w:val="009502A2"/>
    <w:rsid w:val="00976260"/>
    <w:rsid w:val="009840F7"/>
    <w:rsid w:val="009873CB"/>
    <w:rsid w:val="00992589"/>
    <w:rsid w:val="00995443"/>
    <w:rsid w:val="009A4AC7"/>
    <w:rsid w:val="009D7426"/>
    <w:rsid w:val="00A11BC5"/>
    <w:rsid w:val="00A20A82"/>
    <w:rsid w:val="00A23577"/>
    <w:rsid w:val="00A26B33"/>
    <w:rsid w:val="00A44A10"/>
    <w:rsid w:val="00A6175E"/>
    <w:rsid w:val="00A8427A"/>
    <w:rsid w:val="00A90A0B"/>
    <w:rsid w:val="00AE54E0"/>
    <w:rsid w:val="00B0209E"/>
    <w:rsid w:val="00B047E5"/>
    <w:rsid w:val="00B30980"/>
    <w:rsid w:val="00B71FDD"/>
    <w:rsid w:val="00B73697"/>
    <w:rsid w:val="00B7566D"/>
    <w:rsid w:val="00B90B47"/>
    <w:rsid w:val="00BA2726"/>
    <w:rsid w:val="00BB0994"/>
    <w:rsid w:val="00BB29D3"/>
    <w:rsid w:val="00BC4801"/>
    <w:rsid w:val="00BF108A"/>
    <w:rsid w:val="00C07CED"/>
    <w:rsid w:val="00C227DF"/>
    <w:rsid w:val="00C30CA0"/>
    <w:rsid w:val="00C64347"/>
    <w:rsid w:val="00C66283"/>
    <w:rsid w:val="00C82B1C"/>
    <w:rsid w:val="00CA1804"/>
    <w:rsid w:val="00CA22E7"/>
    <w:rsid w:val="00CC5BB7"/>
    <w:rsid w:val="00CD051E"/>
    <w:rsid w:val="00CF0973"/>
    <w:rsid w:val="00CF4748"/>
    <w:rsid w:val="00D24722"/>
    <w:rsid w:val="00D25842"/>
    <w:rsid w:val="00D351DB"/>
    <w:rsid w:val="00D356F4"/>
    <w:rsid w:val="00D43A3D"/>
    <w:rsid w:val="00D55CA5"/>
    <w:rsid w:val="00D66987"/>
    <w:rsid w:val="00D766AE"/>
    <w:rsid w:val="00D77599"/>
    <w:rsid w:val="00DB0D91"/>
    <w:rsid w:val="00DC77FD"/>
    <w:rsid w:val="00DD6060"/>
    <w:rsid w:val="00DE4B65"/>
    <w:rsid w:val="00E40EDA"/>
    <w:rsid w:val="00E41DD7"/>
    <w:rsid w:val="00E504CA"/>
    <w:rsid w:val="00E5352F"/>
    <w:rsid w:val="00E551F1"/>
    <w:rsid w:val="00E65131"/>
    <w:rsid w:val="00E73D05"/>
    <w:rsid w:val="00E75E4B"/>
    <w:rsid w:val="00EA041A"/>
    <w:rsid w:val="00EA16C0"/>
    <w:rsid w:val="00EA7E8F"/>
    <w:rsid w:val="00EF6443"/>
    <w:rsid w:val="00EF795A"/>
    <w:rsid w:val="00F01FF8"/>
    <w:rsid w:val="00F14AA5"/>
    <w:rsid w:val="00F236CF"/>
    <w:rsid w:val="00F504D2"/>
    <w:rsid w:val="00FD2E53"/>
    <w:rsid w:val="00FD73E3"/>
    <w:rsid w:val="00FE4AF1"/>
    <w:rsid w:val="00FF03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BEC7"/>
  <w15:chartTrackingRefBased/>
  <w15:docId w15:val="{20259B41-9034-4483-AB26-D91721AC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92589"/>
  </w:style>
  <w:style w:type="paragraph" w:styleId="Header">
    <w:name w:val="header"/>
    <w:basedOn w:val="Normal"/>
    <w:link w:val="HeaderChar"/>
    <w:uiPriority w:val="99"/>
    <w:unhideWhenUsed/>
    <w:rsid w:val="00992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9"/>
  </w:style>
  <w:style w:type="paragraph" w:styleId="Footer">
    <w:name w:val="footer"/>
    <w:basedOn w:val="Normal"/>
    <w:link w:val="FooterChar"/>
    <w:uiPriority w:val="99"/>
    <w:unhideWhenUsed/>
    <w:rsid w:val="00992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9"/>
  </w:style>
  <w:style w:type="paragraph" w:styleId="Bibliography">
    <w:name w:val="Bibliography"/>
    <w:basedOn w:val="Normal"/>
    <w:next w:val="Normal"/>
    <w:uiPriority w:val="37"/>
    <w:unhideWhenUsed/>
    <w:rsid w:val="00DC77FD"/>
    <w:pPr>
      <w:tabs>
        <w:tab w:val="left" w:pos="384"/>
      </w:tabs>
      <w:spacing w:after="240" w:line="240" w:lineRule="auto"/>
      <w:ind w:left="384" w:hanging="384"/>
    </w:pPr>
  </w:style>
  <w:style w:type="character" w:styleId="CommentReference">
    <w:name w:val="annotation reference"/>
    <w:basedOn w:val="DefaultParagraphFont"/>
    <w:uiPriority w:val="99"/>
    <w:semiHidden/>
    <w:unhideWhenUsed/>
    <w:rsid w:val="00D25842"/>
    <w:rPr>
      <w:sz w:val="16"/>
      <w:szCs w:val="16"/>
    </w:rPr>
  </w:style>
  <w:style w:type="paragraph" w:styleId="CommentText">
    <w:name w:val="annotation text"/>
    <w:basedOn w:val="Normal"/>
    <w:link w:val="CommentTextChar"/>
    <w:uiPriority w:val="99"/>
    <w:unhideWhenUsed/>
    <w:rsid w:val="00D25842"/>
    <w:pPr>
      <w:spacing w:line="240" w:lineRule="auto"/>
    </w:pPr>
    <w:rPr>
      <w:sz w:val="20"/>
      <w:szCs w:val="20"/>
    </w:rPr>
  </w:style>
  <w:style w:type="character" w:customStyle="1" w:styleId="CommentTextChar">
    <w:name w:val="Comment Text Char"/>
    <w:basedOn w:val="DefaultParagraphFont"/>
    <w:link w:val="CommentText"/>
    <w:uiPriority w:val="99"/>
    <w:rsid w:val="00D25842"/>
    <w:rPr>
      <w:sz w:val="20"/>
      <w:szCs w:val="20"/>
    </w:rPr>
  </w:style>
  <w:style w:type="paragraph" w:styleId="CommentSubject">
    <w:name w:val="annotation subject"/>
    <w:basedOn w:val="CommentText"/>
    <w:next w:val="CommentText"/>
    <w:link w:val="CommentSubjectChar"/>
    <w:uiPriority w:val="99"/>
    <w:semiHidden/>
    <w:unhideWhenUsed/>
    <w:rsid w:val="00D25842"/>
    <w:rPr>
      <w:b/>
      <w:bCs/>
    </w:rPr>
  </w:style>
  <w:style w:type="character" w:customStyle="1" w:styleId="CommentSubjectChar">
    <w:name w:val="Comment Subject Char"/>
    <w:basedOn w:val="CommentTextChar"/>
    <w:link w:val="CommentSubject"/>
    <w:uiPriority w:val="99"/>
    <w:semiHidden/>
    <w:rsid w:val="00D258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BB3C-2619-4A57-9FC4-A3B80982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4825</Words>
  <Characters>39084</Characters>
  <Application>Microsoft Office Word</Application>
  <DocSecurity>0</DocSecurity>
  <Lines>325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Haapala, Eero</dc:creator>
  <cp:keywords/>
  <dc:description/>
  <cp:lastModifiedBy>Haapala, Eero</cp:lastModifiedBy>
  <cp:revision>2</cp:revision>
  <dcterms:created xsi:type="dcterms:W3CDTF">2023-07-25T22:21:00Z</dcterms:created>
  <dcterms:modified xsi:type="dcterms:W3CDTF">2023-07-25T22:21:00Z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id="s1SPejOu"/&gt;&lt;style id="http://www.zotero.org/styles/jama" hasBibliography="1" bibliographyStyleHasBeenSet="1"/&gt;&lt;prefs&gt;&lt;pref name="fieldType" value="Field"/&gt;&lt;/prefs&gt;&lt;/data&gt;</vt:lpwstr>
  </property>
</Properties>
</file>